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5ADD6E7E" w:rsidR="00E203C2" w:rsidRDefault="00E203C2" w:rsidP="00E203C2">
      <w:r>
        <w:rPr>
          <w:noProof/>
          <w:lang w:eastAsia="en-GB" w:bidi="ar-SA"/>
        </w:rPr>
        <w:drawing>
          <wp:inline distT="0" distB="0" distL="0" distR="0" wp14:anchorId="53705D84" wp14:editId="18C068F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15B16D4B" w14:textId="4854CEAC" w:rsidR="00CA641D" w:rsidRPr="005E5572" w:rsidRDefault="006F5437" w:rsidP="00CA641D">
      <w:pPr>
        <w:rPr>
          <w:b/>
          <w:sz w:val="28"/>
          <w:szCs w:val="28"/>
        </w:rPr>
      </w:pPr>
      <w:r w:rsidRPr="005E5572">
        <w:rPr>
          <w:b/>
          <w:sz w:val="28"/>
          <w:szCs w:val="28"/>
        </w:rPr>
        <w:t>22 April</w:t>
      </w:r>
      <w:r w:rsidR="00CA641D" w:rsidRPr="005E5572">
        <w:rPr>
          <w:b/>
          <w:sz w:val="28"/>
          <w:szCs w:val="28"/>
        </w:rPr>
        <w:t xml:space="preserve"> </w:t>
      </w:r>
      <w:r w:rsidR="001814C5" w:rsidRPr="005E5572">
        <w:rPr>
          <w:b/>
          <w:sz w:val="28"/>
          <w:szCs w:val="28"/>
        </w:rPr>
        <w:t>2021</w:t>
      </w:r>
    </w:p>
    <w:p w14:paraId="52BA9928" w14:textId="6631D18E" w:rsidR="00CA641D" w:rsidRPr="005E5572" w:rsidRDefault="005E5572" w:rsidP="00CA641D">
      <w:pPr>
        <w:rPr>
          <w:b/>
          <w:sz w:val="28"/>
          <w:szCs w:val="28"/>
        </w:rPr>
      </w:pPr>
      <w:r w:rsidRPr="005E5572">
        <w:rPr>
          <w:b/>
          <w:sz w:val="28"/>
          <w:szCs w:val="28"/>
        </w:rPr>
        <w:t>153-21</w:t>
      </w:r>
    </w:p>
    <w:p w14:paraId="5B92753D" w14:textId="77777777" w:rsidR="0057615C" w:rsidRPr="0057615C" w:rsidRDefault="0057615C" w:rsidP="00690206">
      <w:pPr>
        <w:pStyle w:val="FSTitle"/>
        <w:rPr>
          <w:b/>
          <w:sz w:val="22"/>
        </w:rPr>
      </w:pPr>
      <w:bookmarkStart w:id="0" w:name="_GoBack"/>
    </w:p>
    <w:bookmarkEnd w:id="0"/>
    <w:p w14:paraId="1CA8799B" w14:textId="129DC1C2" w:rsidR="00092CDA" w:rsidRPr="00463F16" w:rsidRDefault="00092CDA" w:rsidP="00690206">
      <w:pPr>
        <w:pStyle w:val="FSTitle"/>
        <w:rPr>
          <w:b/>
        </w:rPr>
      </w:pPr>
      <w:r w:rsidRPr="00463F16">
        <w:rPr>
          <w:b/>
        </w:rPr>
        <w:t>S</w:t>
      </w:r>
      <w:r w:rsidR="00B12F1E" w:rsidRPr="00463F16">
        <w:rPr>
          <w:b/>
        </w:rPr>
        <w:t>upporting document</w:t>
      </w:r>
      <w:r w:rsidRPr="00463F16">
        <w:rPr>
          <w:b/>
        </w:rPr>
        <w:t xml:space="preserve"> </w:t>
      </w:r>
      <w:r w:rsidR="001814C5" w:rsidRPr="0029778E">
        <w:rPr>
          <w:b/>
        </w:rPr>
        <w:t>1</w:t>
      </w:r>
    </w:p>
    <w:p w14:paraId="064DFDFD" w14:textId="77777777" w:rsidR="00BA24E2" w:rsidRPr="00463F16" w:rsidRDefault="00BA24E2" w:rsidP="00E203C2"/>
    <w:p w14:paraId="23D7984A" w14:textId="49364C68" w:rsidR="001814C5" w:rsidRPr="0029778E" w:rsidRDefault="001814C5" w:rsidP="00690206">
      <w:pPr>
        <w:pStyle w:val="FSTitle"/>
      </w:pPr>
      <w:r w:rsidRPr="0029778E">
        <w:rPr>
          <w:b/>
        </w:rPr>
        <w:t>Risk Assessment:</w:t>
      </w:r>
      <w:r w:rsidRPr="0029778E">
        <w:t xml:space="preserve"> </w:t>
      </w:r>
      <w:r w:rsidR="0041682E">
        <w:t>Nutrition, safety, food</w:t>
      </w:r>
      <w:r w:rsidRPr="0029778E">
        <w:t xml:space="preserve"> technology</w:t>
      </w:r>
      <w:r w:rsidR="00463F16">
        <w:t xml:space="preserve"> </w:t>
      </w:r>
      <w:r w:rsidRPr="0029778E">
        <w:t xml:space="preserve">and dietary </w:t>
      </w:r>
      <w:r w:rsidR="009D7603">
        <w:t>intake</w:t>
      </w:r>
      <w:r w:rsidR="009D7603" w:rsidRPr="0029778E">
        <w:t xml:space="preserve"> </w:t>
      </w:r>
      <w:r w:rsidRPr="0029778E">
        <w:t>assessment report</w:t>
      </w:r>
    </w:p>
    <w:p w14:paraId="48392800" w14:textId="77777777" w:rsidR="00E203C2" w:rsidRPr="00463F16" w:rsidRDefault="00E203C2" w:rsidP="00690206"/>
    <w:p w14:paraId="53C06B21" w14:textId="5CACA38C" w:rsidR="00D056F1" w:rsidRPr="0029778E" w:rsidRDefault="001814C5" w:rsidP="00690206">
      <w:pPr>
        <w:pStyle w:val="FSTitle"/>
      </w:pPr>
      <w:r w:rsidRPr="0029778E">
        <w:t>Application A1214 – Nicotinamide riboside chloride as Vitamin B3 in FSMP</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0F093982" w14:textId="606C1154" w:rsidR="0029778E" w:rsidRPr="0029778E" w:rsidRDefault="00092CDA" w:rsidP="0029778E">
      <w:pPr>
        <w:pStyle w:val="Heading1"/>
        <w:spacing w:before="0"/>
      </w:pPr>
      <w:bookmarkStart w:id="1" w:name="_Toc286391001"/>
      <w:bookmarkStart w:id="2" w:name="_Toc300933414"/>
      <w:bookmarkStart w:id="3" w:name="_Toc65509054"/>
      <w:bookmarkStart w:id="4" w:name="_Toc65578791"/>
      <w:bookmarkStart w:id="5" w:name="_Toc65587185"/>
      <w:bookmarkStart w:id="6" w:name="_Toc65587155"/>
      <w:bookmarkStart w:id="7" w:name="_Toc65682764"/>
      <w:bookmarkStart w:id="8" w:name="_Toc65764304"/>
      <w:bookmarkStart w:id="9" w:name="_Toc65764637"/>
      <w:bookmarkStart w:id="10" w:name="_Toc65841206"/>
      <w:bookmarkStart w:id="11" w:name="_Toc66443221"/>
      <w:bookmarkStart w:id="12" w:name="_Toc66436777"/>
      <w:bookmarkStart w:id="13" w:name="_Toc66458129"/>
      <w:bookmarkStart w:id="14" w:name="_Toc66451403"/>
      <w:bookmarkStart w:id="15" w:name="_Toc66458796"/>
      <w:bookmarkStart w:id="16" w:name="_Toc66458929"/>
      <w:bookmarkStart w:id="17" w:name="_Toc66461624"/>
      <w:bookmarkStart w:id="18" w:name="_Toc69899731"/>
      <w:r w:rsidRPr="00092CDA">
        <w:t xml:space="preserve">Executive </w:t>
      </w:r>
      <w:r w:rsidR="00B12F1E">
        <w:t>s</w:t>
      </w:r>
      <w:r w:rsidRPr="00092CDA">
        <w:t>ummary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BD287E3" w14:textId="61191649" w:rsidR="00BD42B0" w:rsidRDefault="00980C3E" w:rsidP="00A224DF">
      <w:r>
        <w:t xml:space="preserve">The purpose of this </w:t>
      </w:r>
      <w:r w:rsidR="00AB6550">
        <w:t>a</w:t>
      </w:r>
      <w:r>
        <w:t xml:space="preserve">pplication is </w:t>
      </w:r>
      <w:r w:rsidR="00BD42B0" w:rsidRPr="00BD42B0">
        <w:rPr>
          <w:lang w:bidi="ar-SA"/>
        </w:rPr>
        <w:t xml:space="preserve">to amend the </w:t>
      </w:r>
      <w:r w:rsidR="00BD42B0" w:rsidRPr="00C86808">
        <w:rPr>
          <w:i/>
          <w:lang w:bidi="ar-SA"/>
        </w:rPr>
        <w:t>Australia New Zealand Food Standards Code</w:t>
      </w:r>
      <w:r w:rsidR="00BD42B0" w:rsidRPr="00BD42B0">
        <w:rPr>
          <w:lang w:bidi="ar-SA"/>
        </w:rPr>
        <w:t xml:space="preserve"> (the Code) to permit the use of </w:t>
      </w:r>
      <w:r>
        <w:rPr>
          <w:lang w:bidi="ar-SA"/>
        </w:rPr>
        <w:t>nicotinamide riboside chloride (</w:t>
      </w:r>
      <w:r w:rsidR="00BD42B0" w:rsidRPr="00BD42B0">
        <w:rPr>
          <w:lang w:bidi="ar-SA"/>
        </w:rPr>
        <w:t>NRC</w:t>
      </w:r>
      <w:r>
        <w:rPr>
          <w:lang w:bidi="ar-SA"/>
        </w:rPr>
        <w:t>)</w:t>
      </w:r>
      <w:r w:rsidR="00BD42B0" w:rsidRPr="00BD42B0">
        <w:rPr>
          <w:lang w:bidi="ar-SA"/>
        </w:rPr>
        <w:t xml:space="preserve"> as a permitted form of </w:t>
      </w:r>
      <w:r w:rsidR="009959E1">
        <w:rPr>
          <w:lang w:bidi="ar-SA"/>
        </w:rPr>
        <w:t>v</w:t>
      </w:r>
      <w:r w:rsidR="00BD42B0" w:rsidRPr="00BD42B0">
        <w:rPr>
          <w:lang w:bidi="ar-SA"/>
        </w:rPr>
        <w:t xml:space="preserve">itamin B3 </w:t>
      </w:r>
      <w:r w:rsidR="00051481">
        <w:rPr>
          <w:lang w:bidi="ar-SA"/>
        </w:rPr>
        <w:t xml:space="preserve">(niacin) </w:t>
      </w:r>
      <w:r w:rsidR="00BD42B0" w:rsidRPr="00BD42B0">
        <w:rPr>
          <w:lang w:bidi="ar-SA"/>
        </w:rPr>
        <w:t xml:space="preserve">in </w:t>
      </w:r>
      <w:r w:rsidR="0039487B">
        <w:rPr>
          <w:lang w:bidi="ar-SA"/>
        </w:rPr>
        <w:t>food for special medical purposes (</w:t>
      </w:r>
      <w:r w:rsidR="00BD42B0" w:rsidRPr="00BD42B0">
        <w:rPr>
          <w:lang w:bidi="ar-SA"/>
        </w:rPr>
        <w:t>FSMPs</w:t>
      </w:r>
      <w:r w:rsidR="0039487B">
        <w:rPr>
          <w:lang w:bidi="ar-SA"/>
        </w:rPr>
        <w:t>)</w:t>
      </w:r>
      <w:r w:rsidR="00BD42B0" w:rsidRPr="00BD42B0">
        <w:rPr>
          <w:lang w:bidi="ar-SA"/>
        </w:rPr>
        <w:t xml:space="preserve">. </w:t>
      </w:r>
    </w:p>
    <w:p w14:paraId="56B40D91" w14:textId="77777777" w:rsidR="00BD42B0" w:rsidRPr="00BD42B0" w:rsidRDefault="00BD42B0" w:rsidP="00A224DF"/>
    <w:p w14:paraId="3FDE2A57" w14:textId="276306F0" w:rsidR="0014393B" w:rsidRDefault="004938E0" w:rsidP="00A224DF">
      <w:r>
        <w:t>T</w:t>
      </w:r>
      <w:r w:rsidR="00BD42B0" w:rsidRPr="00BD42B0">
        <w:t>o determine the bioavailability of NRC</w:t>
      </w:r>
      <w:r w:rsidR="006A6848">
        <w:t>,</w:t>
      </w:r>
      <w:r w:rsidR="00BD42B0" w:rsidRPr="00BD42B0">
        <w:t xml:space="preserve"> FSANZ considered studies in human</w:t>
      </w:r>
      <w:r w:rsidR="00911E33">
        <w:t>s</w:t>
      </w:r>
      <w:r w:rsidR="00BD42B0" w:rsidRPr="00BD42B0" w:rsidDel="00911E33">
        <w:t xml:space="preserve"> </w:t>
      </w:r>
      <w:r w:rsidR="00BD42B0" w:rsidRPr="00BD42B0">
        <w:t xml:space="preserve">and in laboratory animals on the effect of NRC supplementation on the concentration of </w:t>
      </w:r>
      <w:r w:rsidR="000B717D">
        <w:t>n</w:t>
      </w:r>
      <w:r w:rsidR="000B717D" w:rsidRPr="000B717D">
        <w:t xml:space="preserve">icotinamide adenine dinucleotide </w:t>
      </w:r>
      <w:r w:rsidR="000B717D">
        <w:t>(</w:t>
      </w:r>
      <w:r w:rsidR="00BD42B0" w:rsidRPr="00BD42B0">
        <w:t>NAD</w:t>
      </w:r>
      <w:r w:rsidR="00BD42B0" w:rsidRPr="00BD42B0">
        <w:rPr>
          <w:vertAlign w:val="superscript"/>
        </w:rPr>
        <w:t>+</w:t>
      </w:r>
      <w:r w:rsidR="000B717D">
        <w:t xml:space="preserve">) </w:t>
      </w:r>
      <w:r w:rsidR="00BD42B0" w:rsidRPr="00BD42B0">
        <w:t xml:space="preserve">and metabolites in blood and/or urine. In human studies, NRC supplementation </w:t>
      </w:r>
      <w:r w:rsidR="00142D76">
        <w:t xml:space="preserve">(100 </w:t>
      </w:r>
      <w:r w:rsidR="000B717D">
        <w:t>to</w:t>
      </w:r>
      <w:r w:rsidR="00142D76">
        <w:t xml:space="preserve"> 2000 mg/d</w:t>
      </w:r>
      <w:r w:rsidR="00897B94">
        <w:t>ay</w:t>
      </w:r>
      <w:r w:rsidR="00142D76">
        <w:t>)</w:t>
      </w:r>
      <w:r w:rsidR="00BD42B0" w:rsidRPr="00BD42B0">
        <w:t xml:space="preserve"> in volunteers was associated with increases in blood concentrations of </w:t>
      </w:r>
      <w:r w:rsidR="009F5055">
        <w:t>NAD</w:t>
      </w:r>
      <w:r w:rsidR="009F5055" w:rsidRPr="009F5055">
        <w:rPr>
          <w:vertAlign w:val="superscript"/>
        </w:rPr>
        <w:t>+</w:t>
      </w:r>
      <w:r w:rsidR="009F5055">
        <w:t xml:space="preserve"> and </w:t>
      </w:r>
      <w:r w:rsidR="00BD42B0" w:rsidRPr="00BD42B0">
        <w:t>several NAD</w:t>
      </w:r>
      <w:r w:rsidR="00BD42B0" w:rsidRPr="00BD42B0">
        <w:rPr>
          <w:vertAlign w:val="superscript"/>
        </w:rPr>
        <w:t>+</w:t>
      </w:r>
      <w:r w:rsidR="00BD42B0" w:rsidRPr="00BD42B0">
        <w:t xml:space="preserve"> metabolites, relative to baseline values or placebo treatments</w:t>
      </w:r>
      <w:r w:rsidR="007C1EC7">
        <w:t xml:space="preserve"> showing that it is a bioavailable form of niacin. H</w:t>
      </w:r>
      <w:r w:rsidR="00220B93">
        <w:t>owever, n</w:t>
      </w:r>
      <w:r w:rsidR="00F16D7B">
        <w:t xml:space="preserve">one of the studies </w:t>
      </w:r>
      <w:r w:rsidR="00B26528">
        <w:t xml:space="preserve">included a </w:t>
      </w:r>
      <w:r w:rsidR="00F15421">
        <w:t xml:space="preserve">comparator </w:t>
      </w:r>
      <w:r w:rsidR="00F16D7B">
        <w:t xml:space="preserve">treatment group </w:t>
      </w:r>
      <w:r w:rsidR="00B26528">
        <w:t>receiving nicotinic acid</w:t>
      </w:r>
      <w:r w:rsidR="00AE092D">
        <w:t xml:space="preserve"> (NA)</w:t>
      </w:r>
      <w:r w:rsidR="00B26528">
        <w:t xml:space="preserve"> or nicotinamide</w:t>
      </w:r>
      <w:r w:rsidR="00AE092D">
        <w:t xml:space="preserve"> (Nam)</w:t>
      </w:r>
      <w:r w:rsidR="007C1EC7">
        <w:t xml:space="preserve"> </w:t>
      </w:r>
      <w:r w:rsidR="007F058A">
        <w:t>so</w:t>
      </w:r>
      <w:r w:rsidR="007C1EC7">
        <w:t xml:space="preserve"> it was not possible to establish bioequivalence to </w:t>
      </w:r>
      <w:r w:rsidR="004E4246">
        <w:t>already</w:t>
      </w:r>
      <w:r w:rsidR="007C1EC7">
        <w:t xml:space="preserve"> permitted forms of niacin in the Code.</w:t>
      </w:r>
      <w:r w:rsidR="00BD42B0" w:rsidRPr="00BD42B0">
        <w:t xml:space="preserve"> </w:t>
      </w:r>
    </w:p>
    <w:p w14:paraId="4F128351" w14:textId="77777777" w:rsidR="0014393B" w:rsidRDefault="0014393B" w:rsidP="00A224DF"/>
    <w:p w14:paraId="2CDB3036" w14:textId="2AE6FB58" w:rsidR="00C67CD0" w:rsidRDefault="000D594E" w:rsidP="0014393B">
      <w:r w:rsidRPr="00E76F33">
        <w:t>NRC has been shown to increase hepatic NAD</w:t>
      </w:r>
      <w:r w:rsidRPr="00E76F33">
        <w:rPr>
          <w:vertAlign w:val="superscript"/>
        </w:rPr>
        <w:t>+</w:t>
      </w:r>
      <w:r w:rsidRPr="00E76F33">
        <w:t xml:space="preserve"> levels in mice</w:t>
      </w:r>
      <w:r w:rsidRPr="00EC6B49">
        <w:t xml:space="preserve"> </w:t>
      </w:r>
      <w:r>
        <w:t>and</w:t>
      </w:r>
      <w:r w:rsidRPr="004E0B3A">
        <w:t xml:space="preserve"> </w:t>
      </w:r>
      <w:r>
        <w:t xml:space="preserve">increase </w:t>
      </w:r>
      <w:r w:rsidRPr="004E0B3A">
        <w:t xml:space="preserve">plasma MeNam concentrations </w:t>
      </w:r>
      <w:r>
        <w:t>in other animal studies.</w:t>
      </w:r>
      <w:r w:rsidRPr="00E76F33">
        <w:t xml:space="preserve"> </w:t>
      </w:r>
      <w:r w:rsidR="0014393B" w:rsidRPr="003167FA">
        <w:t xml:space="preserve">A 90-day rat study </w:t>
      </w:r>
      <w:r w:rsidR="00845327" w:rsidRPr="003167FA">
        <w:t>showed</w:t>
      </w:r>
      <w:r w:rsidR="0014393B" w:rsidRPr="003167FA">
        <w:t xml:space="preserve"> that similar doses of NRC or Nam cause</w:t>
      </w:r>
      <w:r w:rsidR="000B717D" w:rsidRPr="003167FA">
        <w:t>d</w:t>
      </w:r>
      <w:r w:rsidR="0014393B" w:rsidRPr="003167FA">
        <w:t xml:space="preserve"> an elevation of plasma</w:t>
      </w:r>
      <w:r w:rsidR="007C1EC7">
        <w:t xml:space="preserve"> Nam and MeNam. S</w:t>
      </w:r>
      <w:r w:rsidR="0014393B">
        <w:t xml:space="preserve">imilar </w:t>
      </w:r>
      <w:r w:rsidR="007C1EC7">
        <w:t xml:space="preserve">plasma </w:t>
      </w:r>
      <w:r w:rsidR="0014393B">
        <w:t xml:space="preserve">concentrations of MeNam </w:t>
      </w:r>
      <w:r w:rsidR="00F32BFC">
        <w:t xml:space="preserve">were </w:t>
      </w:r>
      <w:r w:rsidR="0014393B">
        <w:t xml:space="preserve">observed in the two treatment groups, </w:t>
      </w:r>
      <w:r w:rsidR="007C1EC7">
        <w:t>however</w:t>
      </w:r>
      <w:r w:rsidR="0014393B">
        <w:t xml:space="preserve"> the maximum </w:t>
      </w:r>
      <w:r w:rsidR="007C1EC7">
        <w:t xml:space="preserve">plasma </w:t>
      </w:r>
      <w:r w:rsidR="0014393B">
        <w:t>concentration</w:t>
      </w:r>
      <w:r w:rsidR="000B717D">
        <w:t xml:space="preserve"> (Cmax)</w:t>
      </w:r>
      <w:r w:rsidR="0014393B">
        <w:t xml:space="preserve"> and </w:t>
      </w:r>
      <w:r w:rsidR="000B717D">
        <w:t xml:space="preserve">total </w:t>
      </w:r>
      <w:r w:rsidR="0014393B">
        <w:t>systemic exposure</w:t>
      </w:r>
      <w:r w:rsidR="000B717D">
        <w:t xml:space="preserve"> (AUC)</w:t>
      </w:r>
      <w:r w:rsidR="0014393B">
        <w:t xml:space="preserve"> to Nam was higher </w:t>
      </w:r>
      <w:r w:rsidR="003167FA">
        <w:t xml:space="preserve">(approximately 1.6- to 1.8-fold) </w:t>
      </w:r>
      <w:r w:rsidR="0014393B">
        <w:t xml:space="preserve">in the Nam group compared to the NRC group. </w:t>
      </w:r>
      <w:r w:rsidR="00440E4E">
        <w:t xml:space="preserve">Plasma MeNam </w:t>
      </w:r>
      <w:r w:rsidR="00584B88">
        <w:t>levels</w:t>
      </w:r>
      <w:r w:rsidR="00440E4E">
        <w:t xml:space="preserve"> peaked earlier in the NRC group than in the Nam group.</w:t>
      </w:r>
      <w:r w:rsidR="00440E4E">
        <w:rPr>
          <w:highlight w:val="yellow"/>
        </w:rPr>
        <w:t xml:space="preserve"> </w:t>
      </w:r>
    </w:p>
    <w:p w14:paraId="72FAFB86" w14:textId="77777777" w:rsidR="00C67CD0" w:rsidRDefault="00C67CD0" w:rsidP="00A224DF"/>
    <w:p w14:paraId="4358A502" w14:textId="7A38F6E2" w:rsidR="00C2772F" w:rsidRDefault="00BD42B0" w:rsidP="00A224DF">
      <w:r w:rsidRPr="00BD42B0">
        <w:t>FSANZ concludes that based on the available evidence</w:t>
      </w:r>
      <w:r w:rsidR="00A46260">
        <w:t xml:space="preserve"> in laboratory animals and humans</w:t>
      </w:r>
      <w:r w:rsidRPr="00BD42B0">
        <w:t xml:space="preserve"> NRC is a </w:t>
      </w:r>
      <w:r w:rsidR="00AC5569">
        <w:t xml:space="preserve">bioavailable </w:t>
      </w:r>
      <w:r w:rsidRPr="00BD42B0">
        <w:t>form of niacin</w:t>
      </w:r>
      <w:r w:rsidR="00AC5569">
        <w:t xml:space="preserve"> </w:t>
      </w:r>
      <w:r w:rsidR="00142D76">
        <w:t>whi</w:t>
      </w:r>
      <w:r w:rsidR="000B717D">
        <w:t>ch at intakes ranging from 100 to</w:t>
      </w:r>
      <w:r w:rsidR="00142D76">
        <w:t xml:space="preserve"> 2000 mg/d</w:t>
      </w:r>
      <w:r w:rsidR="00897B94">
        <w:t>ay</w:t>
      </w:r>
      <w:r w:rsidR="00142D76">
        <w:t xml:space="preserve"> </w:t>
      </w:r>
      <w:r w:rsidR="00C2772F">
        <w:t xml:space="preserve">in humans </w:t>
      </w:r>
      <w:r w:rsidR="00AC5569">
        <w:t xml:space="preserve">would be expected to </w:t>
      </w:r>
      <w:r w:rsidR="00142D76">
        <w:t>support normal physiological function</w:t>
      </w:r>
      <w:r w:rsidRPr="00BD42B0">
        <w:t xml:space="preserve">. </w:t>
      </w:r>
      <w:r w:rsidR="0041653D">
        <w:rPr>
          <w:rFonts w:cs="Arial"/>
          <w:lang w:val="mi-NZ"/>
        </w:rPr>
        <w:t xml:space="preserve">In the absence of human </w:t>
      </w:r>
      <w:r w:rsidR="002068C2">
        <w:rPr>
          <w:rFonts w:cs="Arial"/>
          <w:lang w:val="mi-NZ"/>
        </w:rPr>
        <w:t>studies</w:t>
      </w:r>
      <w:r w:rsidR="0041653D">
        <w:rPr>
          <w:rFonts w:cs="Arial"/>
          <w:lang w:val="mi-NZ"/>
        </w:rPr>
        <w:t xml:space="preserve"> to establish the bioavailability of NRC</w:t>
      </w:r>
      <w:r w:rsidR="007C1EC7">
        <w:rPr>
          <w:rFonts w:cs="Arial"/>
          <w:lang w:val="mi-NZ"/>
        </w:rPr>
        <w:t xml:space="preserve"> compared </w:t>
      </w:r>
      <w:r w:rsidR="00DC5F9F">
        <w:rPr>
          <w:rFonts w:cs="Arial"/>
          <w:lang w:val="mi-NZ"/>
        </w:rPr>
        <w:t xml:space="preserve">to already </w:t>
      </w:r>
      <w:r w:rsidR="004E4246">
        <w:rPr>
          <w:rFonts w:cs="Arial"/>
          <w:lang w:val="mi-NZ"/>
        </w:rPr>
        <w:t>permitted forms of niacin</w:t>
      </w:r>
      <w:r w:rsidR="0041653D">
        <w:rPr>
          <w:rFonts w:cs="Arial"/>
          <w:lang w:val="mi-NZ"/>
        </w:rPr>
        <w:t xml:space="preserve">, FSANZ cannot judge with certainty the extent to which </w:t>
      </w:r>
      <w:r w:rsidR="00217E50">
        <w:rPr>
          <w:rFonts w:cs="Arial"/>
          <w:lang w:val="mi-NZ"/>
        </w:rPr>
        <w:t xml:space="preserve">lower </w:t>
      </w:r>
      <w:r w:rsidR="0041653D">
        <w:rPr>
          <w:rFonts w:cs="Arial"/>
          <w:lang w:val="mi-NZ"/>
        </w:rPr>
        <w:t>NRC</w:t>
      </w:r>
      <w:r w:rsidR="007A0F41">
        <w:rPr>
          <w:rFonts w:cs="Arial"/>
          <w:lang w:val="mi-NZ"/>
        </w:rPr>
        <w:t xml:space="preserve"> intakes which match adult Recommended Dietary Intakes </w:t>
      </w:r>
      <w:r w:rsidR="00051481">
        <w:rPr>
          <w:rFonts w:cs="Arial"/>
          <w:lang w:val="mi-NZ"/>
        </w:rPr>
        <w:t xml:space="preserve">for niacin </w:t>
      </w:r>
      <w:r w:rsidR="007A0F41">
        <w:rPr>
          <w:rFonts w:cs="Arial"/>
          <w:lang w:val="mi-NZ"/>
        </w:rPr>
        <w:t>(14 mg/d</w:t>
      </w:r>
      <w:r w:rsidR="00897B94">
        <w:rPr>
          <w:rFonts w:cs="Arial"/>
          <w:lang w:val="mi-NZ"/>
        </w:rPr>
        <w:t>ay</w:t>
      </w:r>
      <w:r w:rsidR="007A0F41">
        <w:rPr>
          <w:rFonts w:cs="Arial"/>
          <w:lang w:val="mi-NZ"/>
        </w:rPr>
        <w:t xml:space="preserve"> in women, 16 mg/d</w:t>
      </w:r>
      <w:r w:rsidR="00897B94">
        <w:rPr>
          <w:rFonts w:cs="Arial"/>
          <w:lang w:val="mi-NZ"/>
        </w:rPr>
        <w:t>ay</w:t>
      </w:r>
      <w:r w:rsidR="007A0F41">
        <w:rPr>
          <w:rFonts w:cs="Arial"/>
          <w:lang w:val="mi-NZ"/>
        </w:rPr>
        <w:t xml:space="preserve"> in men) would support </w:t>
      </w:r>
      <w:r w:rsidR="007A0F41">
        <w:rPr>
          <w:rFonts w:cs="Arial"/>
          <w:lang w:val="mi-NZ"/>
        </w:rPr>
        <w:lastRenderedPageBreak/>
        <w:t>essential requirements</w:t>
      </w:r>
      <w:r w:rsidR="004E4246">
        <w:rPr>
          <w:rFonts w:cs="Arial"/>
          <w:lang w:val="mi-NZ"/>
        </w:rPr>
        <w:t>,</w:t>
      </w:r>
      <w:r w:rsidR="0041653D">
        <w:rPr>
          <w:rFonts w:cs="Arial"/>
          <w:lang w:val="mi-NZ"/>
        </w:rPr>
        <w:t xml:space="preserve"> when it is the only form of vitamin B3 in the diet</w:t>
      </w:r>
      <w:r w:rsidR="00C67CD0">
        <w:rPr>
          <w:rFonts w:cs="Arial"/>
          <w:lang w:val="mi-NZ"/>
        </w:rPr>
        <w:t>.</w:t>
      </w:r>
      <w:r w:rsidR="0041653D">
        <w:rPr>
          <w:rFonts w:cs="Arial"/>
          <w:lang w:val="mi-NZ"/>
        </w:rPr>
        <w:t xml:space="preserve"> </w:t>
      </w:r>
      <w:r w:rsidRPr="00BD42B0">
        <w:t xml:space="preserve"> </w:t>
      </w:r>
    </w:p>
    <w:p w14:paraId="2E8384E5" w14:textId="77777777" w:rsidR="00C2772F" w:rsidRDefault="00C2772F" w:rsidP="00A224DF"/>
    <w:p w14:paraId="33CDC627" w14:textId="611153C4" w:rsidR="00BD42B0" w:rsidRDefault="00BD42B0" w:rsidP="00A224DF">
      <w:r w:rsidRPr="00BD42B0">
        <w:t>No evidence was identified to indicate that NRC would inhibit the absorption of other nutrients.</w:t>
      </w:r>
    </w:p>
    <w:p w14:paraId="70C76C8D" w14:textId="77777777" w:rsidR="006424E3" w:rsidRDefault="006424E3" w:rsidP="00A224DF"/>
    <w:p w14:paraId="0CA30FA1" w14:textId="46F42D6C" w:rsidR="007C1EC7" w:rsidRDefault="00BD42B0" w:rsidP="00A224DF">
      <w:r w:rsidRPr="00BD42B0">
        <w:t xml:space="preserve">The acute oral toxicity of NRC is low. No adverse effects were observed in rats gavaged with NRC at 300 mg/kg bw/day for 90 days, but </w:t>
      </w:r>
      <w:r w:rsidR="000C4319">
        <w:t xml:space="preserve">statistically significant changes in some clinical pathology parameters were </w:t>
      </w:r>
      <w:r w:rsidRPr="00BD42B0">
        <w:t xml:space="preserve">observed in rats dosed with 1000 mg/kg bw/day. </w:t>
      </w:r>
      <w:r w:rsidR="000C4319">
        <w:t>In the same study, a number of adverse effects were observed in rats dosed with 3000 mg/kg bw/day, but</w:t>
      </w:r>
      <w:r w:rsidRPr="00BD42B0">
        <w:t xml:space="preserve"> the same adverse changes occurred in a positive control group of rats treated with an equimolar dose of Nam (1260 mg/kg bw/day). </w:t>
      </w:r>
      <w:r w:rsidR="000D594E">
        <w:t>Additional animal studies also</w:t>
      </w:r>
      <w:r w:rsidR="000D594E" w:rsidRPr="00E76F33">
        <w:t xml:space="preserve"> </w:t>
      </w:r>
      <w:r w:rsidR="000D594E">
        <w:t>supported</w:t>
      </w:r>
      <w:r w:rsidR="000D594E" w:rsidRPr="00E76F33">
        <w:t xml:space="preserve"> a </w:t>
      </w:r>
      <w:r w:rsidR="007133AE" w:rsidRPr="00082564">
        <w:t>no</w:t>
      </w:r>
      <w:r w:rsidR="00082564">
        <w:t xml:space="preserve"> </w:t>
      </w:r>
      <w:r w:rsidR="007133AE" w:rsidRPr="00082564">
        <w:t>observed</w:t>
      </w:r>
      <w:r w:rsidR="00082564">
        <w:t xml:space="preserve"> </w:t>
      </w:r>
      <w:r w:rsidR="007133AE" w:rsidRPr="00082564">
        <w:t>adverse</w:t>
      </w:r>
      <w:r w:rsidR="00082564">
        <w:t xml:space="preserve"> </w:t>
      </w:r>
      <w:r w:rsidR="007133AE" w:rsidRPr="00082564">
        <w:t>effect level </w:t>
      </w:r>
      <w:r w:rsidR="007133AE">
        <w:t>(NOAEL)</w:t>
      </w:r>
      <w:r w:rsidR="000D594E" w:rsidRPr="00E76F33">
        <w:t xml:space="preserve"> of 300 mg/kg bw/day. </w:t>
      </w:r>
    </w:p>
    <w:p w14:paraId="6C1688C9" w14:textId="77777777" w:rsidR="007C1EC7" w:rsidRDefault="007C1EC7" w:rsidP="00A224DF"/>
    <w:p w14:paraId="0A3B904E" w14:textId="161DCD58" w:rsidR="00BD42B0" w:rsidRDefault="00BD42B0" w:rsidP="00A224DF">
      <w:r w:rsidRPr="00BD42B0">
        <w:t xml:space="preserve">No chronic toxicity/carcinogenicity studies of NRC were submitted or located from other sources, but NRC </w:t>
      </w:r>
      <w:r w:rsidR="006424E3">
        <w:t xml:space="preserve">was not genotoxic and no pre-neoplastic lesions were observed in the 90 day rat study. </w:t>
      </w:r>
      <w:r w:rsidR="001A6C73" w:rsidRPr="001A6C73">
        <w:t>In a developmental study in rats, the fetal NOAEL was identified as 750 mg/kg</w:t>
      </w:r>
      <w:r w:rsidR="006424E3">
        <w:t xml:space="preserve"> bw</w:t>
      </w:r>
      <w:r w:rsidR="001A6C73" w:rsidRPr="001A6C73">
        <w:t xml:space="preserve">/day on the basis of decreased fetal bodyweights at 1500 mg/kg bw/day, together with increases in </w:t>
      </w:r>
      <w:r w:rsidR="006424E3">
        <w:t xml:space="preserve">the </w:t>
      </w:r>
      <w:r w:rsidR="001A6C73" w:rsidRPr="001A6C73">
        <w:t>incidence of abnormalities commonly observed in association with maternal toxicity.</w:t>
      </w:r>
      <w:r w:rsidR="001A6C73">
        <w:t xml:space="preserve"> </w:t>
      </w:r>
      <w:r w:rsidRPr="00BD42B0">
        <w:t>In a one-generation reproductive study in rats,</w:t>
      </w:r>
      <w:r w:rsidRPr="00BD42B0" w:rsidDel="00D85AC7">
        <w:t xml:space="preserve"> </w:t>
      </w:r>
      <w:r w:rsidR="00D85AC7">
        <w:t>the</w:t>
      </w:r>
      <w:r w:rsidRPr="00BD42B0">
        <w:t xml:space="preserve"> NOAEL for fertility and reproductive performance was 12</w:t>
      </w:r>
      <w:r w:rsidR="00DC5F9F">
        <w:t xml:space="preserve"> </w:t>
      </w:r>
      <w:r w:rsidRPr="00BD42B0">
        <w:t xml:space="preserve">000 ppm in the parental diet, the highest dose tested, equivalent to 675.2 mg/kg bw/day </w:t>
      </w:r>
      <w:r w:rsidR="006424E3">
        <w:t xml:space="preserve">NRC </w:t>
      </w:r>
      <w:r w:rsidRPr="00BD42B0">
        <w:t xml:space="preserve">in P generation males and 1088.4 mg/kg bw/day </w:t>
      </w:r>
      <w:r w:rsidR="00845327">
        <w:t xml:space="preserve">NRC </w:t>
      </w:r>
      <w:r w:rsidRPr="00BD42B0">
        <w:t>in P generation females.</w:t>
      </w:r>
    </w:p>
    <w:p w14:paraId="18C8C8AD" w14:textId="77777777" w:rsidR="001D6E39" w:rsidRPr="00BD42B0" w:rsidRDefault="001D6E39" w:rsidP="00A224DF"/>
    <w:p w14:paraId="694EE720" w14:textId="77777777" w:rsidR="001A6C73" w:rsidRDefault="00BD42B0" w:rsidP="00A224DF">
      <w:r w:rsidRPr="00BD42B0">
        <w:t>In human tolerance studies of up to 12 weeks in duration, NRC was well toler</w:t>
      </w:r>
      <w:r w:rsidR="001A6C73">
        <w:t xml:space="preserve">ated at doses up to 2000 mg/day. </w:t>
      </w:r>
    </w:p>
    <w:p w14:paraId="6F749EF6" w14:textId="77777777" w:rsidR="001A6C73" w:rsidRDefault="001A6C73" w:rsidP="00A224DF"/>
    <w:p w14:paraId="18E40FCC" w14:textId="379626F3" w:rsidR="001A6C73" w:rsidRDefault="001A6C73" w:rsidP="00A224DF">
      <w:r w:rsidRPr="001A6C73">
        <w:t>NRC would not be expected to be an allergen, on the basis of its rapid metabolism to Nam and low molecular weight.</w:t>
      </w:r>
    </w:p>
    <w:p w14:paraId="166113FE" w14:textId="4552F190" w:rsidR="001A6C73" w:rsidRDefault="001A6C73" w:rsidP="00A224DF"/>
    <w:p w14:paraId="1A09F3BC" w14:textId="72590F23" w:rsidR="001A6C73" w:rsidRDefault="004E4246" w:rsidP="00A224DF">
      <w:r>
        <w:t xml:space="preserve">Since NRC is metabolised </w:t>
      </w:r>
      <w:r w:rsidR="00F648BE">
        <w:t>to Nam</w:t>
      </w:r>
      <w:r>
        <w:t xml:space="preserve"> it is </w:t>
      </w:r>
      <w:r w:rsidR="0064411D">
        <w:t>important</w:t>
      </w:r>
      <w:r>
        <w:t xml:space="preserve"> to consider </w:t>
      </w:r>
      <w:r w:rsidR="0064411D">
        <w:t>NRC intakes relative to  the</w:t>
      </w:r>
      <w:r>
        <w:t xml:space="preserve"> upper level of intake (UL) for Nam. </w:t>
      </w:r>
      <w:r w:rsidR="001A6C73">
        <w:t>The</w:t>
      </w:r>
      <w:r w:rsidR="001A6C73" w:rsidRPr="001A6C73">
        <w:t xml:space="preserve"> maximum daily intake of NRC </w:t>
      </w:r>
      <w:r w:rsidR="001A6C73">
        <w:t xml:space="preserve">proposed </w:t>
      </w:r>
      <w:r w:rsidR="001A6C73" w:rsidRPr="001A6C73">
        <w:t xml:space="preserve">in the Application </w:t>
      </w:r>
      <w:r w:rsidR="001A6C73">
        <w:t xml:space="preserve">was </w:t>
      </w:r>
      <w:r w:rsidR="001A6C73" w:rsidRPr="001A6C73">
        <w:t>1000 mg/day</w:t>
      </w:r>
      <w:r w:rsidR="004A1417">
        <w:t>,</w:t>
      </w:r>
      <w:r>
        <w:t xml:space="preserve"> which</w:t>
      </w:r>
      <w:r w:rsidR="001A6C73">
        <w:t xml:space="preserve"> </w:t>
      </w:r>
      <w:r>
        <w:t>a</w:t>
      </w:r>
      <w:r w:rsidR="001A6C73" w:rsidRPr="001A6C73">
        <w:t>ssuming equimolar conversi</w:t>
      </w:r>
      <w:r w:rsidR="001A6C73">
        <w:t>on</w:t>
      </w:r>
      <w:r w:rsidR="004A1417">
        <w:t>,</w:t>
      </w:r>
      <w:r w:rsidR="001A6C73">
        <w:t xml:space="preserve"> </w:t>
      </w:r>
      <w:r>
        <w:t>is equivalent</w:t>
      </w:r>
      <w:r w:rsidR="001A6C73">
        <w:t xml:space="preserve"> to 420 mg Nam</w:t>
      </w:r>
      <w:r>
        <w:t>. T</w:t>
      </w:r>
      <w:r w:rsidR="001A6C73">
        <w:t xml:space="preserve">his </w:t>
      </w:r>
      <w:r w:rsidR="001A6C73" w:rsidRPr="001A6C73">
        <w:t>is less than half the UL</w:t>
      </w:r>
      <w:r w:rsidR="0064411D">
        <w:t xml:space="preserve"> </w:t>
      </w:r>
      <w:r w:rsidR="001A6C73" w:rsidRPr="001A6C73">
        <w:t>for Nam</w:t>
      </w:r>
      <w:r w:rsidR="001A6C73">
        <w:t xml:space="preserve"> </w:t>
      </w:r>
      <w:r w:rsidR="001A6C73" w:rsidRPr="001A6C73">
        <w:t>in non-pregnant, non-lactating adults</w:t>
      </w:r>
      <w:r w:rsidR="0064411D">
        <w:t xml:space="preserve"> </w:t>
      </w:r>
      <w:r w:rsidR="0064411D" w:rsidRPr="0064411D">
        <w:t>(900 mg)</w:t>
      </w:r>
      <w:r w:rsidR="001A6C73" w:rsidRPr="001A6C73">
        <w:t>, and is also below the UL for children aged 9-13 years</w:t>
      </w:r>
      <w:r w:rsidR="0064411D">
        <w:t xml:space="preserve"> (500 mg/day)</w:t>
      </w:r>
      <w:r w:rsidR="001A6C73" w:rsidRPr="001A6C73">
        <w:t xml:space="preserve"> and adolescents aged 14-18 years</w:t>
      </w:r>
      <w:r w:rsidR="0064411D">
        <w:t xml:space="preserve"> (750 mg/day)</w:t>
      </w:r>
      <w:r w:rsidR="001A6C73" w:rsidRPr="001A6C73">
        <w:t>.</w:t>
      </w:r>
      <w:r>
        <w:t xml:space="preserve"> It is above the UL for children aged 1-3 years</w:t>
      </w:r>
      <w:r w:rsidR="0064411D">
        <w:t xml:space="preserve"> (150 mg/day)</w:t>
      </w:r>
      <w:r>
        <w:t xml:space="preserve"> and 4</w:t>
      </w:r>
      <w:r w:rsidRPr="004E4246">
        <w:t>-</w:t>
      </w:r>
      <w:r>
        <w:t>8 years</w:t>
      </w:r>
      <w:r w:rsidR="0064411D">
        <w:t xml:space="preserve"> (250 mg/day)</w:t>
      </w:r>
      <w:r w:rsidR="006E69AE">
        <w:t>,</w:t>
      </w:r>
      <w:r>
        <w:t xml:space="preserve"> however it is </w:t>
      </w:r>
      <w:r w:rsidR="006C1B71">
        <w:t xml:space="preserve">expected </w:t>
      </w:r>
      <w:r>
        <w:t xml:space="preserve">that FSMPs </w:t>
      </w:r>
      <w:r w:rsidRPr="004E4246">
        <w:t xml:space="preserve">are prescribed </w:t>
      </w:r>
      <w:r w:rsidR="0064411D">
        <w:t xml:space="preserve">by, and will be </w:t>
      </w:r>
      <w:r w:rsidR="003D58CA">
        <w:t xml:space="preserve">used </w:t>
      </w:r>
      <w:r w:rsidR="0064411D">
        <w:t>under the supervision of</w:t>
      </w:r>
      <w:r w:rsidR="003D58CA">
        <w:t xml:space="preserve"> medical practitioners, at intakes that would not exceed the UL.</w:t>
      </w:r>
    </w:p>
    <w:p w14:paraId="42C3F0A5" w14:textId="69A3218A" w:rsidR="00BD42B0" w:rsidRPr="00BD42B0" w:rsidRDefault="00BD42B0" w:rsidP="00A224DF"/>
    <w:p w14:paraId="0C4DA9BC" w14:textId="1D4FDBDB" w:rsidR="004D189A" w:rsidRPr="00917C06" w:rsidRDefault="004D189A" w:rsidP="00A224DF">
      <w:r w:rsidRPr="00917C06">
        <w:t xml:space="preserve">The </w:t>
      </w:r>
      <w:r w:rsidR="0080060C" w:rsidRPr="00917C06">
        <w:t>margin of exposure (</w:t>
      </w:r>
      <w:r w:rsidRPr="00917C06">
        <w:t>MOE</w:t>
      </w:r>
      <w:r w:rsidR="0080060C" w:rsidRPr="00917C06">
        <w:t>)</w:t>
      </w:r>
      <w:r w:rsidRPr="00917C06">
        <w:t xml:space="preserve"> </w:t>
      </w:r>
      <w:r w:rsidR="00BA00AD" w:rsidRPr="00BA00AD">
        <w:t xml:space="preserve">between the NOAEL of 750 mg/kg/day </w:t>
      </w:r>
      <w:r w:rsidR="00BA00AD">
        <w:t>for fetal toxicity in a rat developmental study, and the</w:t>
      </w:r>
      <w:r w:rsidR="00BA00AD" w:rsidRPr="00BA00AD">
        <w:t xml:space="preserve"> maximum intake of 1000 mg/day NRC </w:t>
      </w:r>
      <w:r w:rsidRPr="00917C06">
        <w:t xml:space="preserve">for a pregnant woman weighing 60 kg </w:t>
      </w:r>
      <w:r w:rsidR="00B96B8E">
        <w:t>was</w:t>
      </w:r>
      <w:r w:rsidRPr="00917C06">
        <w:t xml:space="preserve"> 45</w:t>
      </w:r>
      <w:r w:rsidR="00BA00AD">
        <w:t>.</w:t>
      </w:r>
      <w:r w:rsidRPr="00917C06">
        <w:t xml:space="preserve"> The corresponding MOE between the</w:t>
      </w:r>
      <w:r w:rsidR="00845327">
        <w:t xml:space="preserve"> NOAEL in the</w:t>
      </w:r>
      <w:r w:rsidRPr="00917C06">
        <w:t xml:space="preserve"> one-generation reproductive toxicity in rats and proposed</w:t>
      </w:r>
      <w:r w:rsidR="006A3564" w:rsidRPr="00917C06">
        <w:t xml:space="preserve"> maximum human intake</w:t>
      </w:r>
      <w:r w:rsidRPr="00917C06">
        <w:t xml:space="preserve"> </w:t>
      </w:r>
      <w:r w:rsidR="008B06A8">
        <w:t>was</w:t>
      </w:r>
      <w:r w:rsidRPr="00917C06">
        <w:t xml:space="preserve"> approximately 66.</w:t>
      </w:r>
      <w:r w:rsidR="006A3564" w:rsidRPr="00917C06">
        <w:t xml:space="preserve"> </w:t>
      </w:r>
      <w:r w:rsidR="008B06A8">
        <w:t>O</w:t>
      </w:r>
      <w:r w:rsidR="008B06A8" w:rsidRPr="008B06A8">
        <w:t>n the basis of the low MOEs</w:t>
      </w:r>
      <w:r w:rsidR="008B06A8">
        <w:t xml:space="preserve"> (&lt;100)</w:t>
      </w:r>
      <w:r w:rsidR="008B06A8" w:rsidRPr="008B06A8">
        <w:t xml:space="preserve"> </w:t>
      </w:r>
      <w:r w:rsidR="008B06A8">
        <w:t xml:space="preserve">use </w:t>
      </w:r>
      <w:r w:rsidR="00DC5F9F">
        <w:t xml:space="preserve">at the maximum proposed </w:t>
      </w:r>
      <w:r w:rsidR="008B06A8">
        <w:t xml:space="preserve">NRC </w:t>
      </w:r>
      <w:r w:rsidR="00DC5F9F">
        <w:t>intake level</w:t>
      </w:r>
      <w:r w:rsidR="00845327">
        <w:t xml:space="preserve"> in pregnant or lactating women is not</w:t>
      </w:r>
      <w:r w:rsidR="008B06A8">
        <w:t xml:space="preserve"> supported</w:t>
      </w:r>
      <w:r w:rsidR="00845327">
        <w:t xml:space="preserve">. </w:t>
      </w:r>
      <w:r w:rsidR="00B96B8E">
        <w:t>However</w:t>
      </w:r>
      <w:r w:rsidR="006E69AE">
        <w:t>,</w:t>
      </w:r>
      <w:r w:rsidR="003D58CA">
        <w:t xml:space="preserve"> as for paediatric use, </w:t>
      </w:r>
      <w:r w:rsidR="00636DCD">
        <w:t>lower intakes approximating</w:t>
      </w:r>
      <w:r w:rsidR="006A3564" w:rsidRPr="00917C06">
        <w:t xml:space="preserve"> Recommended Daily</w:t>
      </w:r>
      <w:r w:rsidR="002068C2" w:rsidRPr="00917C06">
        <w:t xml:space="preserve"> Intakes of niacin</w:t>
      </w:r>
      <w:r w:rsidR="006E69AE">
        <w:t xml:space="preserve">, prescribed </w:t>
      </w:r>
      <w:r w:rsidR="003D58CA">
        <w:t xml:space="preserve">and supervised </w:t>
      </w:r>
      <w:r w:rsidR="006E69AE">
        <w:t>by a medical practitioner</w:t>
      </w:r>
      <w:r w:rsidR="006A5027">
        <w:t>,</w:t>
      </w:r>
      <w:r w:rsidR="00636DCD">
        <w:t xml:space="preserve"> </w:t>
      </w:r>
      <w:r w:rsidR="008B06A8">
        <w:t xml:space="preserve">do </w:t>
      </w:r>
      <w:r w:rsidR="00EE3425">
        <w:t>not represent a safety concern</w:t>
      </w:r>
      <w:r w:rsidR="00F648BE">
        <w:t xml:space="preserve"> in pregnant or lactating women</w:t>
      </w:r>
      <w:r w:rsidR="007C1EC7">
        <w:t xml:space="preserve">. </w:t>
      </w:r>
    </w:p>
    <w:p w14:paraId="4AA51606" w14:textId="77777777" w:rsidR="004D189A" w:rsidRDefault="004D189A" w:rsidP="00A224DF"/>
    <w:p w14:paraId="4B846278" w14:textId="2115A6B9" w:rsidR="00BD42B0" w:rsidRPr="00BD42B0" w:rsidRDefault="00BD42B0" w:rsidP="00A224DF">
      <w:pPr>
        <w:rPr>
          <w:lang w:bidi="ar-SA"/>
        </w:rPr>
      </w:pPr>
      <w:r w:rsidRPr="00BD42B0">
        <w:t>T</w:t>
      </w:r>
      <w:r w:rsidR="0055105E">
        <w:t>he t</w:t>
      </w:r>
      <w:r w:rsidRPr="00BD42B0">
        <w:t>echnological assessment concluded that the NRC manufactured by the Appli</w:t>
      </w:r>
      <w:r w:rsidRPr="00BD42B0">
        <w:lastRenderedPageBreak/>
        <w:t xml:space="preserve">cant is of appropriate chemical composition, purity and stability to fulfil the technological function. </w:t>
      </w:r>
      <w:r w:rsidRPr="00BD42B0">
        <w:rPr>
          <w:lang w:eastAsia="en-AU"/>
        </w:rPr>
        <w:t>FSANZ has developed specification</w:t>
      </w:r>
      <w:r w:rsidR="00887ED1">
        <w:rPr>
          <w:lang w:eastAsia="en-AU"/>
        </w:rPr>
        <w:t>s</w:t>
      </w:r>
      <w:r w:rsidRPr="00BD42B0">
        <w:rPr>
          <w:lang w:eastAsia="en-AU"/>
        </w:rPr>
        <w:t xml:space="preserve"> based on information provided by the Applicant. </w:t>
      </w:r>
    </w:p>
    <w:p w14:paraId="30C27CFF" w14:textId="77777777" w:rsidR="00BD42B0" w:rsidRPr="00BD42B0" w:rsidRDefault="00BD42B0" w:rsidP="00A224DF"/>
    <w:p w14:paraId="56EB9498" w14:textId="45EFA27A" w:rsidR="003308A5" w:rsidRDefault="00BD42B0" w:rsidP="00690206">
      <w:r w:rsidRPr="007C1EC7">
        <w:t>In conclusion,</w:t>
      </w:r>
      <w:r w:rsidR="00A46260" w:rsidRPr="007C1EC7">
        <w:t xml:space="preserve"> FSANZ considers that based on the </w:t>
      </w:r>
      <w:r w:rsidR="00876DA6" w:rsidRPr="007C1EC7">
        <w:t xml:space="preserve">best </w:t>
      </w:r>
      <w:r w:rsidR="00A46260" w:rsidRPr="007C1EC7">
        <w:t xml:space="preserve">available evidence in laboratory animals and humans, NRC is a bioavailable form of niacin which at intakes ranging from 100 </w:t>
      </w:r>
      <w:r w:rsidR="003D58CA">
        <w:t>to</w:t>
      </w:r>
      <w:r w:rsidR="00A46260" w:rsidRPr="007C1EC7">
        <w:t xml:space="preserve"> 2000 mg/d</w:t>
      </w:r>
      <w:r w:rsidR="00897B94" w:rsidRPr="007C1EC7">
        <w:t>ay</w:t>
      </w:r>
      <w:r w:rsidR="00A46260" w:rsidRPr="007C1EC7">
        <w:t xml:space="preserve"> would be expected to support normal physiological function.</w:t>
      </w:r>
      <w:r w:rsidR="00B96B8E">
        <w:t xml:space="preserve"> </w:t>
      </w:r>
      <w:r w:rsidR="00CE17F1">
        <w:t>However</w:t>
      </w:r>
      <w:r w:rsidR="00CE17F1" w:rsidRPr="00CE17F1">
        <w:t xml:space="preserve"> none of the studies included a </w:t>
      </w:r>
      <w:r w:rsidR="00DC4261">
        <w:t>comparator</w:t>
      </w:r>
      <w:r w:rsidR="00CE17F1" w:rsidRPr="00CE17F1">
        <w:t xml:space="preserve"> treatment group receiving </w:t>
      </w:r>
      <w:r w:rsidR="0019656E">
        <w:t xml:space="preserve">NA or Nam, </w:t>
      </w:r>
      <w:r w:rsidR="00CE17F1">
        <w:t>therefore</w:t>
      </w:r>
      <w:r w:rsidR="00CE17F1" w:rsidRPr="00CE17F1">
        <w:t xml:space="preserve"> it was not possible to establish bioequivalence to forms of niacin </w:t>
      </w:r>
      <w:r w:rsidR="003D58CA" w:rsidRPr="003D58CA">
        <w:t xml:space="preserve">already permitted </w:t>
      </w:r>
      <w:r w:rsidR="00CE17F1" w:rsidRPr="00CE17F1">
        <w:t>in the Code.</w:t>
      </w:r>
      <w:r w:rsidR="00CE17F1">
        <w:t xml:space="preserve"> On that basis it is not possible for FSANZ to establish with certainty </w:t>
      </w:r>
      <w:r w:rsidR="00686536">
        <w:t xml:space="preserve">whether </w:t>
      </w:r>
      <w:r w:rsidR="00CE17F1" w:rsidRPr="00CE17F1">
        <w:t>lower NRC intakes which matched adult Recommended Dietary Intakes for niaci</w:t>
      </w:r>
      <w:r w:rsidR="000C2E7D">
        <w:t>n</w:t>
      </w:r>
      <w:r w:rsidR="00CE17F1" w:rsidRPr="00CE17F1">
        <w:t xml:space="preserve"> would support essential requirements, when it is the only f</w:t>
      </w:r>
      <w:r w:rsidR="00CE17F1">
        <w:t xml:space="preserve">orm of vitamin B3 in the diet. </w:t>
      </w:r>
    </w:p>
    <w:p w14:paraId="45555E71" w14:textId="77777777" w:rsidR="003308A5" w:rsidRDefault="003308A5" w:rsidP="00690206"/>
    <w:p w14:paraId="6F607119" w14:textId="33306BB4" w:rsidR="00CE17F1" w:rsidRDefault="007927DA" w:rsidP="00690206">
      <w:r>
        <w:t xml:space="preserve">NRC is not expected to represent a safety concern when prescribed and used under medical supervision at intakes below the UL for Nam, and </w:t>
      </w:r>
      <w:r w:rsidR="00FA58A8">
        <w:t>for</w:t>
      </w:r>
      <w:r w:rsidR="00342470">
        <w:t xml:space="preserve"> pregnant or lactating women, </w:t>
      </w:r>
      <w:r>
        <w:t xml:space="preserve">at levels of intake consistent with Recommended Dietary Intakes for niacin. </w:t>
      </w:r>
    </w:p>
    <w:p w14:paraId="01A7BB32" w14:textId="77777777" w:rsidR="00CE17F1" w:rsidRDefault="00CE17F1" w:rsidP="00690206"/>
    <w:p w14:paraId="6FDB598B" w14:textId="2B6608D4"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002A3314">
      <w:pPr>
        <w:pStyle w:val="TOCHeading"/>
        <w:rPr>
          <w:b w:val="0"/>
          <w:sz w:val="32"/>
        </w:rPr>
      </w:pPr>
      <w:r w:rsidRPr="00D9620E">
        <w:rPr>
          <w:b w:val="0"/>
          <w:sz w:val="32"/>
        </w:rPr>
        <w:t xml:space="preserve">Table of </w:t>
      </w:r>
      <w:r w:rsidR="00A77BFA" w:rsidRPr="00D9620E">
        <w:rPr>
          <w:b w:val="0"/>
          <w:sz w:val="32"/>
        </w:rPr>
        <w:t>c</w:t>
      </w:r>
      <w:r w:rsidRPr="00D9620E">
        <w:rPr>
          <w:b w:val="0"/>
          <w:sz w:val="32"/>
        </w:rPr>
        <w:t>ontents</w:t>
      </w:r>
    </w:p>
    <w:p w14:paraId="66CE1CFC" w14:textId="010FD896" w:rsidR="006F5437"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69899731" w:history="1">
        <w:r w:rsidR="006F5437" w:rsidRPr="00DA72EE">
          <w:rPr>
            <w:rStyle w:val="Hyperlink"/>
            <w:noProof/>
          </w:rPr>
          <w:t>Executive summary</w:t>
        </w:r>
        <w:r w:rsidR="006F5437">
          <w:rPr>
            <w:noProof/>
            <w:webHidden/>
          </w:rPr>
          <w:tab/>
        </w:r>
        <w:r w:rsidR="006F5437">
          <w:rPr>
            <w:noProof/>
            <w:webHidden/>
          </w:rPr>
          <w:fldChar w:fldCharType="begin"/>
        </w:r>
        <w:r w:rsidR="006F5437">
          <w:rPr>
            <w:noProof/>
            <w:webHidden/>
          </w:rPr>
          <w:instrText xml:space="preserve"> PAGEREF _Toc69899731 \h </w:instrText>
        </w:r>
        <w:r w:rsidR="006F5437">
          <w:rPr>
            <w:noProof/>
            <w:webHidden/>
          </w:rPr>
        </w:r>
        <w:r w:rsidR="006F5437">
          <w:rPr>
            <w:noProof/>
            <w:webHidden/>
          </w:rPr>
          <w:fldChar w:fldCharType="separate"/>
        </w:r>
        <w:r w:rsidR="006F5437">
          <w:rPr>
            <w:noProof/>
            <w:webHidden/>
          </w:rPr>
          <w:t>i</w:t>
        </w:r>
        <w:r w:rsidR="006F5437">
          <w:rPr>
            <w:noProof/>
            <w:webHidden/>
          </w:rPr>
          <w:fldChar w:fldCharType="end"/>
        </w:r>
      </w:hyperlink>
    </w:p>
    <w:p w14:paraId="0C3AEC9B" w14:textId="742F6CC8" w:rsidR="006F5437" w:rsidRDefault="005E5572">
      <w:pPr>
        <w:pStyle w:val="TOC1"/>
        <w:tabs>
          <w:tab w:val="right" w:leader="dot" w:pos="9060"/>
        </w:tabs>
        <w:rPr>
          <w:rFonts w:eastAsiaTheme="minorEastAsia" w:cstheme="minorBidi"/>
          <w:b w:val="0"/>
          <w:bCs w:val="0"/>
          <w:caps w:val="0"/>
          <w:noProof/>
          <w:sz w:val="22"/>
          <w:szCs w:val="22"/>
          <w:lang w:eastAsia="en-GB" w:bidi="ar-SA"/>
        </w:rPr>
      </w:pPr>
      <w:hyperlink w:anchor="_Toc69899732" w:history="1">
        <w:r w:rsidR="006F5437" w:rsidRPr="00DA72EE">
          <w:rPr>
            <w:rStyle w:val="Hyperlink"/>
            <w:noProof/>
          </w:rPr>
          <w:t>Abbreviations relevant to NAD</w:t>
        </w:r>
        <w:r w:rsidR="006F5437" w:rsidRPr="00DA72EE">
          <w:rPr>
            <w:rStyle w:val="Hyperlink"/>
            <w:noProof/>
            <w:vertAlign w:val="superscript"/>
          </w:rPr>
          <w:t>+</w:t>
        </w:r>
        <w:r w:rsidR="006F5437" w:rsidRPr="00DA72EE">
          <w:rPr>
            <w:rStyle w:val="Hyperlink"/>
            <w:noProof/>
          </w:rPr>
          <w:t xml:space="preserve"> metabolism</w:t>
        </w:r>
        <w:r w:rsidR="006F5437">
          <w:rPr>
            <w:noProof/>
            <w:webHidden/>
          </w:rPr>
          <w:tab/>
        </w:r>
        <w:r w:rsidR="006F5437">
          <w:rPr>
            <w:noProof/>
            <w:webHidden/>
          </w:rPr>
          <w:fldChar w:fldCharType="begin"/>
        </w:r>
        <w:r w:rsidR="006F5437">
          <w:rPr>
            <w:noProof/>
            <w:webHidden/>
          </w:rPr>
          <w:instrText xml:space="preserve"> PAGEREF _Toc69899732 \h </w:instrText>
        </w:r>
        <w:r w:rsidR="006F5437">
          <w:rPr>
            <w:noProof/>
            <w:webHidden/>
          </w:rPr>
        </w:r>
        <w:r w:rsidR="006F5437">
          <w:rPr>
            <w:noProof/>
            <w:webHidden/>
          </w:rPr>
          <w:fldChar w:fldCharType="separate"/>
        </w:r>
        <w:r w:rsidR="006F5437">
          <w:rPr>
            <w:noProof/>
            <w:webHidden/>
          </w:rPr>
          <w:t>2</w:t>
        </w:r>
        <w:r w:rsidR="006F5437">
          <w:rPr>
            <w:noProof/>
            <w:webHidden/>
          </w:rPr>
          <w:fldChar w:fldCharType="end"/>
        </w:r>
      </w:hyperlink>
    </w:p>
    <w:p w14:paraId="4B93AFDA" w14:textId="361E5DB7" w:rsidR="006F5437" w:rsidRDefault="005E5572">
      <w:pPr>
        <w:pStyle w:val="TOC1"/>
        <w:tabs>
          <w:tab w:val="left" w:pos="440"/>
          <w:tab w:val="right" w:leader="dot" w:pos="9060"/>
        </w:tabs>
        <w:rPr>
          <w:rFonts w:eastAsiaTheme="minorEastAsia" w:cstheme="minorBidi"/>
          <w:b w:val="0"/>
          <w:bCs w:val="0"/>
          <w:caps w:val="0"/>
          <w:noProof/>
          <w:sz w:val="22"/>
          <w:szCs w:val="22"/>
          <w:lang w:eastAsia="en-GB" w:bidi="ar-SA"/>
        </w:rPr>
      </w:pPr>
      <w:hyperlink w:anchor="_Toc69899733" w:history="1">
        <w:r w:rsidR="006F5437" w:rsidRPr="00DA72EE">
          <w:rPr>
            <w:rStyle w:val="Hyperlink"/>
            <w:noProof/>
          </w:rPr>
          <w:t>1</w:t>
        </w:r>
        <w:r w:rsidR="006F5437">
          <w:rPr>
            <w:rFonts w:eastAsiaTheme="minorEastAsia" w:cstheme="minorBidi"/>
            <w:b w:val="0"/>
            <w:bCs w:val="0"/>
            <w:caps w:val="0"/>
            <w:noProof/>
            <w:sz w:val="22"/>
            <w:szCs w:val="22"/>
            <w:lang w:eastAsia="en-GB" w:bidi="ar-SA"/>
          </w:rPr>
          <w:tab/>
        </w:r>
        <w:r w:rsidR="006F5437" w:rsidRPr="00DA72EE">
          <w:rPr>
            <w:rStyle w:val="Hyperlink"/>
            <w:noProof/>
          </w:rPr>
          <w:t>Introduction</w:t>
        </w:r>
        <w:r w:rsidR="006F5437">
          <w:rPr>
            <w:noProof/>
            <w:webHidden/>
          </w:rPr>
          <w:tab/>
        </w:r>
        <w:r w:rsidR="006F5437">
          <w:rPr>
            <w:noProof/>
            <w:webHidden/>
          </w:rPr>
          <w:fldChar w:fldCharType="begin"/>
        </w:r>
        <w:r w:rsidR="006F5437">
          <w:rPr>
            <w:noProof/>
            <w:webHidden/>
          </w:rPr>
          <w:instrText xml:space="preserve"> PAGEREF _Toc69899733 \h </w:instrText>
        </w:r>
        <w:r w:rsidR="006F5437">
          <w:rPr>
            <w:noProof/>
            <w:webHidden/>
          </w:rPr>
        </w:r>
        <w:r w:rsidR="006F5437">
          <w:rPr>
            <w:noProof/>
            <w:webHidden/>
          </w:rPr>
          <w:fldChar w:fldCharType="separate"/>
        </w:r>
        <w:r w:rsidR="006F5437">
          <w:rPr>
            <w:noProof/>
            <w:webHidden/>
          </w:rPr>
          <w:t>3</w:t>
        </w:r>
        <w:r w:rsidR="006F5437">
          <w:rPr>
            <w:noProof/>
            <w:webHidden/>
          </w:rPr>
          <w:fldChar w:fldCharType="end"/>
        </w:r>
      </w:hyperlink>
    </w:p>
    <w:p w14:paraId="7BCE2B36" w14:textId="63CDD2E1" w:rsidR="006F5437" w:rsidRDefault="005E5572">
      <w:pPr>
        <w:pStyle w:val="TOC1"/>
        <w:tabs>
          <w:tab w:val="left" w:pos="440"/>
          <w:tab w:val="right" w:leader="dot" w:pos="9060"/>
        </w:tabs>
        <w:rPr>
          <w:rFonts w:eastAsiaTheme="minorEastAsia" w:cstheme="minorBidi"/>
          <w:b w:val="0"/>
          <w:bCs w:val="0"/>
          <w:caps w:val="0"/>
          <w:noProof/>
          <w:sz w:val="22"/>
          <w:szCs w:val="22"/>
          <w:lang w:eastAsia="en-GB" w:bidi="ar-SA"/>
        </w:rPr>
      </w:pPr>
      <w:hyperlink w:anchor="_Toc69899734" w:history="1">
        <w:r w:rsidR="006F5437" w:rsidRPr="00DA72EE">
          <w:rPr>
            <w:rStyle w:val="Hyperlink"/>
            <w:noProof/>
          </w:rPr>
          <w:t>2</w:t>
        </w:r>
        <w:r w:rsidR="006F5437">
          <w:rPr>
            <w:rFonts w:eastAsiaTheme="minorEastAsia" w:cstheme="minorBidi"/>
            <w:b w:val="0"/>
            <w:bCs w:val="0"/>
            <w:caps w:val="0"/>
            <w:noProof/>
            <w:sz w:val="22"/>
            <w:szCs w:val="22"/>
            <w:lang w:eastAsia="en-GB" w:bidi="ar-SA"/>
          </w:rPr>
          <w:tab/>
        </w:r>
        <w:r w:rsidR="006F5437" w:rsidRPr="00DA72EE">
          <w:rPr>
            <w:rStyle w:val="Hyperlink"/>
            <w:noProof/>
          </w:rPr>
          <w:t>Nutrition Risk Assessment</w:t>
        </w:r>
        <w:r w:rsidR="006F5437">
          <w:rPr>
            <w:noProof/>
            <w:webHidden/>
          </w:rPr>
          <w:tab/>
        </w:r>
        <w:r w:rsidR="006F5437">
          <w:rPr>
            <w:noProof/>
            <w:webHidden/>
          </w:rPr>
          <w:fldChar w:fldCharType="begin"/>
        </w:r>
        <w:r w:rsidR="006F5437">
          <w:rPr>
            <w:noProof/>
            <w:webHidden/>
          </w:rPr>
          <w:instrText xml:space="preserve"> PAGEREF _Toc69899734 \h </w:instrText>
        </w:r>
        <w:r w:rsidR="006F5437">
          <w:rPr>
            <w:noProof/>
            <w:webHidden/>
          </w:rPr>
        </w:r>
        <w:r w:rsidR="006F5437">
          <w:rPr>
            <w:noProof/>
            <w:webHidden/>
          </w:rPr>
          <w:fldChar w:fldCharType="separate"/>
        </w:r>
        <w:r w:rsidR="006F5437">
          <w:rPr>
            <w:noProof/>
            <w:webHidden/>
          </w:rPr>
          <w:t>4</w:t>
        </w:r>
        <w:r w:rsidR="006F5437">
          <w:rPr>
            <w:noProof/>
            <w:webHidden/>
          </w:rPr>
          <w:fldChar w:fldCharType="end"/>
        </w:r>
      </w:hyperlink>
    </w:p>
    <w:p w14:paraId="2F5CC1D6" w14:textId="4611A4A2" w:rsidR="006F5437" w:rsidRDefault="005E5572">
      <w:pPr>
        <w:pStyle w:val="TOC2"/>
        <w:tabs>
          <w:tab w:val="left" w:pos="880"/>
          <w:tab w:val="right" w:leader="dot" w:pos="9060"/>
        </w:tabs>
        <w:rPr>
          <w:rFonts w:eastAsiaTheme="minorEastAsia" w:cstheme="minorBidi"/>
          <w:smallCaps w:val="0"/>
          <w:noProof/>
          <w:sz w:val="22"/>
          <w:szCs w:val="22"/>
          <w:lang w:eastAsia="en-GB" w:bidi="ar-SA"/>
        </w:rPr>
      </w:pPr>
      <w:hyperlink w:anchor="_Toc69899735" w:history="1">
        <w:r w:rsidR="006F5437" w:rsidRPr="00DA72EE">
          <w:rPr>
            <w:rStyle w:val="Hyperlink"/>
            <w:noProof/>
          </w:rPr>
          <w:t>2.1</w:t>
        </w:r>
        <w:r w:rsidR="006F5437">
          <w:rPr>
            <w:rFonts w:eastAsiaTheme="minorEastAsia" w:cstheme="minorBidi"/>
            <w:smallCaps w:val="0"/>
            <w:noProof/>
            <w:sz w:val="22"/>
            <w:szCs w:val="22"/>
            <w:lang w:eastAsia="en-GB" w:bidi="ar-SA"/>
          </w:rPr>
          <w:tab/>
        </w:r>
        <w:r w:rsidR="006F5437" w:rsidRPr="00DA72EE">
          <w:rPr>
            <w:rStyle w:val="Hyperlink"/>
            <w:noProof/>
          </w:rPr>
          <w:t>Objectives for the nutrition risk assessment</w:t>
        </w:r>
        <w:r w:rsidR="006F5437">
          <w:rPr>
            <w:noProof/>
            <w:webHidden/>
          </w:rPr>
          <w:tab/>
        </w:r>
        <w:r w:rsidR="006F5437">
          <w:rPr>
            <w:noProof/>
            <w:webHidden/>
          </w:rPr>
          <w:fldChar w:fldCharType="begin"/>
        </w:r>
        <w:r w:rsidR="006F5437">
          <w:rPr>
            <w:noProof/>
            <w:webHidden/>
          </w:rPr>
          <w:instrText xml:space="preserve"> PAGEREF _Toc69899735 \h </w:instrText>
        </w:r>
        <w:r w:rsidR="006F5437">
          <w:rPr>
            <w:noProof/>
            <w:webHidden/>
          </w:rPr>
        </w:r>
        <w:r w:rsidR="006F5437">
          <w:rPr>
            <w:noProof/>
            <w:webHidden/>
          </w:rPr>
          <w:fldChar w:fldCharType="separate"/>
        </w:r>
        <w:r w:rsidR="006F5437">
          <w:rPr>
            <w:noProof/>
            <w:webHidden/>
          </w:rPr>
          <w:t>4</w:t>
        </w:r>
        <w:r w:rsidR="006F5437">
          <w:rPr>
            <w:noProof/>
            <w:webHidden/>
          </w:rPr>
          <w:fldChar w:fldCharType="end"/>
        </w:r>
      </w:hyperlink>
    </w:p>
    <w:p w14:paraId="1484F51A" w14:textId="67FBD15E" w:rsidR="006F5437" w:rsidRDefault="005E5572">
      <w:pPr>
        <w:pStyle w:val="TOC2"/>
        <w:tabs>
          <w:tab w:val="left" w:pos="880"/>
          <w:tab w:val="right" w:leader="dot" w:pos="9060"/>
        </w:tabs>
        <w:rPr>
          <w:rFonts w:eastAsiaTheme="minorEastAsia" w:cstheme="minorBidi"/>
          <w:smallCaps w:val="0"/>
          <w:noProof/>
          <w:sz w:val="22"/>
          <w:szCs w:val="22"/>
          <w:lang w:eastAsia="en-GB" w:bidi="ar-SA"/>
        </w:rPr>
      </w:pPr>
      <w:hyperlink w:anchor="_Toc69899736" w:history="1">
        <w:r w:rsidR="006F5437" w:rsidRPr="00DA72EE">
          <w:rPr>
            <w:rStyle w:val="Hyperlink"/>
            <w:noProof/>
          </w:rPr>
          <w:t>2.2</w:t>
        </w:r>
        <w:r w:rsidR="006F5437">
          <w:rPr>
            <w:rFonts w:eastAsiaTheme="minorEastAsia" w:cstheme="minorBidi"/>
            <w:smallCaps w:val="0"/>
            <w:noProof/>
            <w:sz w:val="22"/>
            <w:szCs w:val="22"/>
            <w:lang w:eastAsia="en-GB" w:bidi="ar-SA"/>
          </w:rPr>
          <w:tab/>
        </w:r>
        <w:r w:rsidR="006F5437" w:rsidRPr="00DA72EE">
          <w:rPr>
            <w:rStyle w:val="Hyperlink"/>
            <w:noProof/>
          </w:rPr>
          <w:t>Introduction</w:t>
        </w:r>
        <w:r w:rsidR="006F5437">
          <w:rPr>
            <w:noProof/>
            <w:webHidden/>
          </w:rPr>
          <w:tab/>
        </w:r>
        <w:r w:rsidR="006F5437">
          <w:rPr>
            <w:noProof/>
            <w:webHidden/>
          </w:rPr>
          <w:fldChar w:fldCharType="begin"/>
        </w:r>
        <w:r w:rsidR="006F5437">
          <w:rPr>
            <w:noProof/>
            <w:webHidden/>
          </w:rPr>
          <w:instrText xml:space="preserve"> PAGEREF _Toc69899736 \h </w:instrText>
        </w:r>
        <w:r w:rsidR="006F5437">
          <w:rPr>
            <w:noProof/>
            <w:webHidden/>
          </w:rPr>
        </w:r>
        <w:r w:rsidR="006F5437">
          <w:rPr>
            <w:noProof/>
            <w:webHidden/>
          </w:rPr>
          <w:fldChar w:fldCharType="separate"/>
        </w:r>
        <w:r w:rsidR="006F5437">
          <w:rPr>
            <w:noProof/>
            <w:webHidden/>
          </w:rPr>
          <w:t>4</w:t>
        </w:r>
        <w:r w:rsidR="006F5437">
          <w:rPr>
            <w:noProof/>
            <w:webHidden/>
          </w:rPr>
          <w:fldChar w:fldCharType="end"/>
        </w:r>
      </w:hyperlink>
    </w:p>
    <w:p w14:paraId="4BBBAF6D" w14:textId="21F69580" w:rsidR="006F5437" w:rsidRDefault="005E5572">
      <w:pPr>
        <w:pStyle w:val="TOC2"/>
        <w:tabs>
          <w:tab w:val="left" w:pos="880"/>
          <w:tab w:val="right" w:leader="dot" w:pos="9060"/>
        </w:tabs>
        <w:rPr>
          <w:rFonts w:eastAsiaTheme="minorEastAsia" w:cstheme="minorBidi"/>
          <w:smallCaps w:val="0"/>
          <w:noProof/>
          <w:sz w:val="22"/>
          <w:szCs w:val="22"/>
          <w:lang w:eastAsia="en-GB" w:bidi="ar-SA"/>
        </w:rPr>
      </w:pPr>
      <w:hyperlink w:anchor="_Toc69899737" w:history="1">
        <w:r w:rsidR="006F5437" w:rsidRPr="00DA72EE">
          <w:rPr>
            <w:rStyle w:val="Hyperlink"/>
            <w:noProof/>
          </w:rPr>
          <w:t>2.3</w:t>
        </w:r>
        <w:r w:rsidR="006F5437">
          <w:rPr>
            <w:rFonts w:eastAsiaTheme="minorEastAsia" w:cstheme="minorBidi"/>
            <w:smallCaps w:val="0"/>
            <w:noProof/>
            <w:sz w:val="22"/>
            <w:szCs w:val="22"/>
            <w:lang w:eastAsia="en-GB" w:bidi="ar-SA"/>
          </w:rPr>
          <w:tab/>
        </w:r>
        <w:r w:rsidR="006F5437" w:rsidRPr="00DA72EE">
          <w:rPr>
            <w:rStyle w:val="Hyperlink"/>
            <w:noProof/>
          </w:rPr>
          <w:t>Niacin dietary sources and bioavailability</w:t>
        </w:r>
        <w:r w:rsidR="006F5437">
          <w:rPr>
            <w:noProof/>
            <w:webHidden/>
          </w:rPr>
          <w:tab/>
        </w:r>
        <w:r w:rsidR="006F5437">
          <w:rPr>
            <w:noProof/>
            <w:webHidden/>
          </w:rPr>
          <w:fldChar w:fldCharType="begin"/>
        </w:r>
        <w:r w:rsidR="006F5437">
          <w:rPr>
            <w:noProof/>
            <w:webHidden/>
          </w:rPr>
          <w:instrText xml:space="preserve"> PAGEREF _Toc69899737 \h </w:instrText>
        </w:r>
        <w:r w:rsidR="006F5437">
          <w:rPr>
            <w:noProof/>
            <w:webHidden/>
          </w:rPr>
        </w:r>
        <w:r w:rsidR="006F5437">
          <w:rPr>
            <w:noProof/>
            <w:webHidden/>
          </w:rPr>
          <w:fldChar w:fldCharType="separate"/>
        </w:r>
        <w:r w:rsidR="006F5437">
          <w:rPr>
            <w:noProof/>
            <w:webHidden/>
          </w:rPr>
          <w:t>4</w:t>
        </w:r>
        <w:r w:rsidR="006F5437">
          <w:rPr>
            <w:noProof/>
            <w:webHidden/>
          </w:rPr>
          <w:fldChar w:fldCharType="end"/>
        </w:r>
      </w:hyperlink>
    </w:p>
    <w:p w14:paraId="7A45BF49" w14:textId="5297AD85" w:rsidR="006F5437" w:rsidRDefault="005E5572">
      <w:pPr>
        <w:pStyle w:val="TOC2"/>
        <w:tabs>
          <w:tab w:val="left" w:pos="880"/>
          <w:tab w:val="right" w:leader="dot" w:pos="9060"/>
        </w:tabs>
        <w:rPr>
          <w:rFonts w:eastAsiaTheme="minorEastAsia" w:cstheme="minorBidi"/>
          <w:smallCaps w:val="0"/>
          <w:noProof/>
          <w:sz w:val="22"/>
          <w:szCs w:val="22"/>
          <w:lang w:eastAsia="en-GB" w:bidi="ar-SA"/>
        </w:rPr>
      </w:pPr>
      <w:hyperlink w:anchor="_Toc69899738" w:history="1">
        <w:r w:rsidR="006F5437" w:rsidRPr="00DA72EE">
          <w:rPr>
            <w:rStyle w:val="Hyperlink"/>
            <w:noProof/>
          </w:rPr>
          <w:t>2.4</w:t>
        </w:r>
        <w:r w:rsidR="006F5437">
          <w:rPr>
            <w:rFonts w:eastAsiaTheme="minorEastAsia" w:cstheme="minorBidi"/>
            <w:smallCaps w:val="0"/>
            <w:noProof/>
            <w:sz w:val="22"/>
            <w:szCs w:val="22"/>
            <w:lang w:eastAsia="en-GB" w:bidi="ar-SA"/>
          </w:rPr>
          <w:tab/>
        </w:r>
        <w:r w:rsidR="006F5437" w:rsidRPr="00DA72EE">
          <w:rPr>
            <w:rStyle w:val="Hyperlink"/>
            <w:noProof/>
          </w:rPr>
          <w:t>Bioavailability of Nicotinamide Riboside</w:t>
        </w:r>
        <w:r w:rsidR="006F5437">
          <w:rPr>
            <w:noProof/>
            <w:webHidden/>
          </w:rPr>
          <w:tab/>
        </w:r>
        <w:r w:rsidR="006F5437">
          <w:rPr>
            <w:noProof/>
            <w:webHidden/>
          </w:rPr>
          <w:fldChar w:fldCharType="begin"/>
        </w:r>
        <w:r w:rsidR="006F5437">
          <w:rPr>
            <w:noProof/>
            <w:webHidden/>
          </w:rPr>
          <w:instrText xml:space="preserve"> PAGEREF _Toc69899738 \h </w:instrText>
        </w:r>
        <w:r w:rsidR="006F5437">
          <w:rPr>
            <w:noProof/>
            <w:webHidden/>
          </w:rPr>
        </w:r>
        <w:r w:rsidR="006F5437">
          <w:rPr>
            <w:noProof/>
            <w:webHidden/>
          </w:rPr>
          <w:fldChar w:fldCharType="separate"/>
        </w:r>
        <w:r w:rsidR="006F5437">
          <w:rPr>
            <w:noProof/>
            <w:webHidden/>
          </w:rPr>
          <w:t>6</w:t>
        </w:r>
        <w:r w:rsidR="006F5437">
          <w:rPr>
            <w:noProof/>
            <w:webHidden/>
          </w:rPr>
          <w:fldChar w:fldCharType="end"/>
        </w:r>
      </w:hyperlink>
    </w:p>
    <w:p w14:paraId="60C859CA" w14:textId="03E03170" w:rsidR="006F5437" w:rsidRDefault="005E5572">
      <w:pPr>
        <w:pStyle w:val="TOC3"/>
        <w:tabs>
          <w:tab w:val="right" w:leader="dot" w:pos="9060"/>
        </w:tabs>
        <w:rPr>
          <w:rFonts w:eastAsiaTheme="minorEastAsia" w:cstheme="minorBidi"/>
          <w:i w:val="0"/>
          <w:iCs w:val="0"/>
          <w:noProof/>
          <w:sz w:val="22"/>
          <w:szCs w:val="22"/>
          <w:lang w:eastAsia="en-GB" w:bidi="ar-SA"/>
        </w:rPr>
      </w:pPr>
      <w:hyperlink w:anchor="_Toc69899739" w:history="1">
        <w:r w:rsidR="006F5437" w:rsidRPr="00DA72EE">
          <w:rPr>
            <w:rStyle w:val="Hyperlink"/>
            <w:noProof/>
          </w:rPr>
          <w:t>2.4.1  Human Studies</w:t>
        </w:r>
        <w:r w:rsidR="006F5437">
          <w:rPr>
            <w:noProof/>
            <w:webHidden/>
          </w:rPr>
          <w:tab/>
        </w:r>
        <w:r w:rsidR="006F5437">
          <w:rPr>
            <w:noProof/>
            <w:webHidden/>
          </w:rPr>
          <w:fldChar w:fldCharType="begin"/>
        </w:r>
        <w:r w:rsidR="006F5437">
          <w:rPr>
            <w:noProof/>
            <w:webHidden/>
          </w:rPr>
          <w:instrText xml:space="preserve"> PAGEREF _Toc69899739 \h </w:instrText>
        </w:r>
        <w:r w:rsidR="006F5437">
          <w:rPr>
            <w:noProof/>
            <w:webHidden/>
          </w:rPr>
        </w:r>
        <w:r w:rsidR="006F5437">
          <w:rPr>
            <w:noProof/>
            <w:webHidden/>
          </w:rPr>
          <w:fldChar w:fldCharType="separate"/>
        </w:r>
        <w:r w:rsidR="006F5437">
          <w:rPr>
            <w:noProof/>
            <w:webHidden/>
          </w:rPr>
          <w:t>6</w:t>
        </w:r>
        <w:r w:rsidR="006F5437">
          <w:rPr>
            <w:noProof/>
            <w:webHidden/>
          </w:rPr>
          <w:fldChar w:fldCharType="end"/>
        </w:r>
      </w:hyperlink>
    </w:p>
    <w:p w14:paraId="01298768" w14:textId="7231C85F" w:rsidR="006F5437" w:rsidRDefault="005E5572">
      <w:pPr>
        <w:pStyle w:val="TOC3"/>
        <w:tabs>
          <w:tab w:val="right" w:leader="dot" w:pos="9060"/>
        </w:tabs>
        <w:rPr>
          <w:rFonts w:eastAsiaTheme="minorEastAsia" w:cstheme="minorBidi"/>
          <w:i w:val="0"/>
          <w:iCs w:val="0"/>
          <w:noProof/>
          <w:sz w:val="22"/>
          <w:szCs w:val="22"/>
          <w:lang w:eastAsia="en-GB" w:bidi="ar-SA"/>
        </w:rPr>
      </w:pPr>
      <w:hyperlink w:anchor="_Toc69899740" w:history="1">
        <w:r w:rsidR="006F5437" w:rsidRPr="00DA72EE">
          <w:rPr>
            <w:rStyle w:val="Hyperlink"/>
            <w:noProof/>
          </w:rPr>
          <w:t>2.4.2 Animal Studies</w:t>
        </w:r>
        <w:r w:rsidR="006F5437">
          <w:rPr>
            <w:noProof/>
            <w:webHidden/>
          </w:rPr>
          <w:tab/>
        </w:r>
        <w:r w:rsidR="006F5437">
          <w:rPr>
            <w:noProof/>
            <w:webHidden/>
          </w:rPr>
          <w:fldChar w:fldCharType="begin"/>
        </w:r>
        <w:r w:rsidR="006F5437">
          <w:rPr>
            <w:noProof/>
            <w:webHidden/>
          </w:rPr>
          <w:instrText xml:space="preserve"> PAGEREF _Toc69899740 \h </w:instrText>
        </w:r>
        <w:r w:rsidR="006F5437">
          <w:rPr>
            <w:noProof/>
            <w:webHidden/>
          </w:rPr>
        </w:r>
        <w:r w:rsidR="006F5437">
          <w:rPr>
            <w:noProof/>
            <w:webHidden/>
          </w:rPr>
          <w:fldChar w:fldCharType="separate"/>
        </w:r>
        <w:r w:rsidR="006F5437">
          <w:rPr>
            <w:noProof/>
            <w:webHidden/>
          </w:rPr>
          <w:t>9</w:t>
        </w:r>
        <w:r w:rsidR="006F5437">
          <w:rPr>
            <w:noProof/>
            <w:webHidden/>
          </w:rPr>
          <w:fldChar w:fldCharType="end"/>
        </w:r>
      </w:hyperlink>
    </w:p>
    <w:p w14:paraId="313C5F46" w14:textId="1F787667" w:rsidR="006F5437" w:rsidRDefault="005E5572">
      <w:pPr>
        <w:pStyle w:val="TOC3"/>
        <w:tabs>
          <w:tab w:val="right" w:leader="dot" w:pos="9060"/>
        </w:tabs>
        <w:rPr>
          <w:rFonts w:eastAsiaTheme="minorEastAsia" w:cstheme="minorBidi"/>
          <w:i w:val="0"/>
          <w:iCs w:val="0"/>
          <w:noProof/>
          <w:sz w:val="22"/>
          <w:szCs w:val="22"/>
          <w:lang w:eastAsia="en-GB" w:bidi="ar-SA"/>
        </w:rPr>
      </w:pPr>
      <w:hyperlink w:anchor="_Toc69899741" w:history="1">
        <w:r w:rsidR="006F5437" w:rsidRPr="00DA72EE">
          <w:rPr>
            <w:rStyle w:val="Hyperlink"/>
            <w:noProof/>
          </w:rPr>
          <w:t>2.4.3 In vitro studies</w:t>
        </w:r>
        <w:r w:rsidR="006F5437">
          <w:rPr>
            <w:noProof/>
            <w:webHidden/>
          </w:rPr>
          <w:tab/>
        </w:r>
        <w:r w:rsidR="006F5437">
          <w:rPr>
            <w:noProof/>
            <w:webHidden/>
          </w:rPr>
          <w:fldChar w:fldCharType="begin"/>
        </w:r>
        <w:r w:rsidR="006F5437">
          <w:rPr>
            <w:noProof/>
            <w:webHidden/>
          </w:rPr>
          <w:instrText xml:space="preserve"> PAGEREF _Toc69899741 \h </w:instrText>
        </w:r>
        <w:r w:rsidR="006F5437">
          <w:rPr>
            <w:noProof/>
            <w:webHidden/>
          </w:rPr>
        </w:r>
        <w:r w:rsidR="006F5437">
          <w:rPr>
            <w:noProof/>
            <w:webHidden/>
          </w:rPr>
          <w:fldChar w:fldCharType="separate"/>
        </w:r>
        <w:r w:rsidR="006F5437">
          <w:rPr>
            <w:noProof/>
            <w:webHidden/>
          </w:rPr>
          <w:t>11</w:t>
        </w:r>
        <w:r w:rsidR="006F5437">
          <w:rPr>
            <w:noProof/>
            <w:webHidden/>
          </w:rPr>
          <w:fldChar w:fldCharType="end"/>
        </w:r>
      </w:hyperlink>
    </w:p>
    <w:p w14:paraId="741FC6A3" w14:textId="5BB3CFC6" w:rsidR="006F5437" w:rsidRDefault="005E5572">
      <w:pPr>
        <w:pStyle w:val="TOC2"/>
        <w:tabs>
          <w:tab w:val="left" w:pos="880"/>
          <w:tab w:val="right" w:leader="dot" w:pos="9060"/>
        </w:tabs>
        <w:rPr>
          <w:rFonts w:eastAsiaTheme="minorEastAsia" w:cstheme="minorBidi"/>
          <w:smallCaps w:val="0"/>
          <w:noProof/>
          <w:sz w:val="22"/>
          <w:szCs w:val="22"/>
          <w:lang w:eastAsia="en-GB" w:bidi="ar-SA"/>
        </w:rPr>
      </w:pPr>
      <w:hyperlink w:anchor="_Toc69899742" w:history="1">
        <w:r w:rsidR="006F5437" w:rsidRPr="00DA72EE">
          <w:rPr>
            <w:rStyle w:val="Hyperlink"/>
            <w:noProof/>
          </w:rPr>
          <w:t>2.5</w:t>
        </w:r>
        <w:r w:rsidR="006F5437">
          <w:rPr>
            <w:rFonts w:eastAsiaTheme="minorEastAsia" w:cstheme="minorBidi"/>
            <w:smallCaps w:val="0"/>
            <w:noProof/>
            <w:sz w:val="22"/>
            <w:szCs w:val="22"/>
            <w:lang w:eastAsia="en-GB" w:bidi="ar-SA"/>
          </w:rPr>
          <w:tab/>
        </w:r>
        <w:r w:rsidR="006F5437" w:rsidRPr="00DA72EE">
          <w:rPr>
            <w:rStyle w:val="Hyperlink"/>
            <w:noProof/>
          </w:rPr>
          <w:t>Discussion and Conclusion</w:t>
        </w:r>
        <w:r w:rsidR="006F5437">
          <w:rPr>
            <w:noProof/>
            <w:webHidden/>
          </w:rPr>
          <w:tab/>
        </w:r>
        <w:r w:rsidR="006F5437">
          <w:rPr>
            <w:noProof/>
            <w:webHidden/>
          </w:rPr>
          <w:fldChar w:fldCharType="begin"/>
        </w:r>
        <w:r w:rsidR="006F5437">
          <w:rPr>
            <w:noProof/>
            <w:webHidden/>
          </w:rPr>
          <w:instrText xml:space="preserve"> PAGEREF _Toc69899742 \h </w:instrText>
        </w:r>
        <w:r w:rsidR="006F5437">
          <w:rPr>
            <w:noProof/>
            <w:webHidden/>
          </w:rPr>
        </w:r>
        <w:r w:rsidR="006F5437">
          <w:rPr>
            <w:noProof/>
            <w:webHidden/>
          </w:rPr>
          <w:fldChar w:fldCharType="separate"/>
        </w:r>
        <w:r w:rsidR="006F5437">
          <w:rPr>
            <w:noProof/>
            <w:webHidden/>
          </w:rPr>
          <w:t>12</w:t>
        </w:r>
        <w:r w:rsidR="006F5437">
          <w:rPr>
            <w:noProof/>
            <w:webHidden/>
          </w:rPr>
          <w:fldChar w:fldCharType="end"/>
        </w:r>
      </w:hyperlink>
    </w:p>
    <w:p w14:paraId="02144821" w14:textId="51831286" w:rsidR="006F5437" w:rsidRDefault="005E5572">
      <w:pPr>
        <w:pStyle w:val="TOC1"/>
        <w:tabs>
          <w:tab w:val="left" w:pos="440"/>
          <w:tab w:val="right" w:leader="dot" w:pos="9060"/>
        </w:tabs>
        <w:rPr>
          <w:rFonts w:eastAsiaTheme="minorEastAsia" w:cstheme="minorBidi"/>
          <w:b w:val="0"/>
          <w:bCs w:val="0"/>
          <w:caps w:val="0"/>
          <w:noProof/>
          <w:sz w:val="22"/>
          <w:szCs w:val="22"/>
          <w:lang w:eastAsia="en-GB" w:bidi="ar-SA"/>
        </w:rPr>
      </w:pPr>
      <w:hyperlink w:anchor="_Toc69899743" w:history="1">
        <w:r w:rsidR="006F5437" w:rsidRPr="00DA72EE">
          <w:rPr>
            <w:rStyle w:val="Hyperlink"/>
            <w:noProof/>
          </w:rPr>
          <w:t>3</w:t>
        </w:r>
        <w:r w:rsidR="006F5437">
          <w:rPr>
            <w:rFonts w:eastAsiaTheme="minorEastAsia" w:cstheme="minorBidi"/>
            <w:b w:val="0"/>
            <w:bCs w:val="0"/>
            <w:caps w:val="0"/>
            <w:noProof/>
            <w:sz w:val="22"/>
            <w:szCs w:val="22"/>
            <w:lang w:eastAsia="en-GB" w:bidi="ar-SA"/>
          </w:rPr>
          <w:tab/>
        </w:r>
        <w:r w:rsidR="006F5437" w:rsidRPr="00DA72EE">
          <w:rPr>
            <w:rStyle w:val="Hyperlink"/>
            <w:noProof/>
          </w:rPr>
          <w:t>Safety Assessment</w:t>
        </w:r>
        <w:r w:rsidR="006F5437">
          <w:rPr>
            <w:noProof/>
            <w:webHidden/>
          </w:rPr>
          <w:tab/>
        </w:r>
        <w:r w:rsidR="006F5437">
          <w:rPr>
            <w:noProof/>
            <w:webHidden/>
          </w:rPr>
          <w:fldChar w:fldCharType="begin"/>
        </w:r>
        <w:r w:rsidR="006F5437">
          <w:rPr>
            <w:noProof/>
            <w:webHidden/>
          </w:rPr>
          <w:instrText xml:space="preserve"> PAGEREF _Toc69899743 \h </w:instrText>
        </w:r>
        <w:r w:rsidR="006F5437">
          <w:rPr>
            <w:noProof/>
            <w:webHidden/>
          </w:rPr>
        </w:r>
        <w:r w:rsidR="006F5437">
          <w:rPr>
            <w:noProof/>
            <w:webHidden/>
          </w:rPr>
          <w:fldChar w:fldCharType="separate"/>
        </w:r>
        <w:r w:rsidR="006F5437">
          <w:rPr>
            <w:noProof/>
            <w:webHidden/>
          </w:rPr>
          <w:t>14</w:t>
        </w:r>
        <w:r w:rsidR="006F5437">
          <w:rPr>
            <w:noProof/>
            <w:webHidden/>
          </w:rPr>
          <w:fldChar w:fldCharType="end"/>
        </w:r>
      </w:hyperlink>
    </w:p>
    <w:p w14:paraId="5F1FBAE1" w14:textId="007157EC" w:rsidR="006F5437" w:rsidRDefault="005E5572">
      <w:pPr>
        <w:pStyle w:val="TOC2"/>
        <w:tabs>
          <w:tab w:val="left" w:pos="880"/>
          <w:tab w:val="right" w:leader="dot" w:pos="9060"/>
        </w:tabs>
        <w:rPr>
          <w:rFonts w:eastAsiaTheme="minorEastAsia" w:cstheme="minorBidi"/>
          <w:smallCaps w:val="0"/>
          <w:noProof/>
          <w:sz w:val="22"/>
          <w:szCs w:val="22"/>
          <w:lang w:eastAsia="en-GB" w:bidi="ar-SA"/>
        </w:rPr>
      </w:pPr>
      <w:hyperlink w:anchor="_Toc69899745" w:history="1">
        <w:r w:rsidR="006F5437" w:rsidRPr="00DA72EE">
          <w:rPr>
            <w:rStyle w:val="Hyperlink"/>
            <w:noProof/>
          </w:rPr>
          <w:t>3.1</w:t>
        </w:r>
        <w:r w:rsidR="006F5437">
          <w:rPr>
            <w:rFonts w:eastAsiaTheme="minorEastAsia" w:cstheme="minorBidi"/>
            <w:smallCaps w:val="0"/>
            <w:noProof/>
            <w:sz w:val="22"/>
            <w:szCs w:val="22"/>
            <w:lang w:eastAsia="en-GB" w:bidi="ar-SA"/>
          </w:rPr>
          <w:tab/>
        </w:r>
        <w:r w:rsidR="006F5437" w:rsidRPr="00DA72EE">
          <w:rPr>
            <w:rStyle w:val="Hyperlink"/>
            <w:noProof/>
          </w:rPr>
          <w:t>Objectives for the safety assessment</w:t>
        </w:r>
        <w:r w:rsidR="006F5437">
          <w:rPr>
            <w:noProof/>
            <w:webHidden/>
          </w:rPr>
          <w:tab/>
        </w:r>
        <w:r w:rsidR="006F5437">
          <w:rPr>
            <w:noProof/>
            <w:webHidden/>
          </w:rPr>
          <w:fldChar w:fldCharType="begin"/>
        </w:r>
        <w:r w:rsidR="006F5437">
          <w:rPr>
            <w:noProof/>
            <w:webHidden/>
          </w:rPr>
          <w:instrText xml:space="preserve"> PAGEREF _Toc69899745 \h </w:instrText>
        </w:r>
        <w:r w:rsidR="006F5437">
          <w:rPr>
            <w:noProof/>
            <w:webHidden/>
          </w:rPr>
        </w:r>
        <w:r w:rsidR="006F5437">
          <w:rPr>
            <w:noProof/>
            <w:webHidden/>
          </w:rPr>
          <w:fldChar w:fldCharType="separate"/>
        </w:r>
        <w:r w:rsidR="006F5437">
          <w:rPr>
            <w:noProof/>
            <w:webHidden/>
          </w:rPr>
          <w:t>14</w:t>
        </w:r>
        <w:r w:rsidR="006F5437">
          <w:rPr>
            <w:noProof/>
            <w:webHidden/>
          </w:rPr>
          <w:fldChar w:fldCharType="end"/>
        </w:r>
      </w:hyperlink>
    </w:p>
    <w:p w14:paraId="5F513FFA" w14:textId="5E7B793A" w:rsidR="006F5437" w:rsidRDefault="005E5572">
      <w:pPr>
        <w:pStyle w:val="TOC2"/>
        <w:tabs>
          <w:tab w:val="left" w:pos="880"/>
          <w:tab w:val="right" w:leader="dot" w:pos="9060"/>
        </w:tabs>
        <w:rPr>
          <w:rFonts w:eastAsiaTheme="minorEastAsia" w:cstheme="minorBidi"/>
          <w:smallCaps w:val="0"/>
          <w:noProof/>
          <w:sz w:val="22"/>
          <w:szCs w:val="22"/>
          <w:lang w:eastAsia="en-GB" w:bidi="ar-SA"/>
        </w:rPr>
      </w:pPr>
      <w:hyperlink w:anchor="_Toc69899746" w:history="1">
        <w:r w:rsidR="006F5437" w:rsidRPr="00DA72EE">
          <w:rPr>
            <w:rStyle w:val="Hyperlink"/>
            <w:noProof/>
          </w:rPr>
          <w:t>3.2</w:t>
        </w:r>
        <w:r w:rsidR="006F5437">
          <w:rPr>
            <w:rFonts w:eastAsiaTheme="minorEastAsia" w:cstheme="minorBidi"/>
            <w:smallCaps w:val="0"/>
            <w:noProof/>
            <w:sz w:val="22"/>
            <w:szCs w:val="22"/>
            <w:lang w:eastAsia="en-GB" w:bidi="ar-SA"/>
          </w:rPr>
          <w:tab/>
        </w:r>
        <w:r w:rsidR="006F5437" w:rsidRPr="00DA72EE">
          <w:rPr>
            <w:rStyle w:val="Hyperlink"/>
            <w:noProof/>
          </w:rPr>
          <w:t>Background</w:t>
        </w:r>
        <w:r w:rsidR="006F5437">
          <w:rPr>
            <w:noProof/>
            <w:webHidden/>
          </w:rPr>
          <w:tab/>
        </w:r>
        <w:r w:rsidR="006F5437">
          <w:rPr>
            <w:noProof/>
            <w:webHidden/>
          </w:rPr>
          <w:fldChar w:fldCharType="begin"/>
        </w:r>
        <w:r w:rsidR="006F5437">
          <w:rPr>
            <w:noProof/>
            <w:webHidden/>
          </w:rPr>
          <w:instrText xml:space="preserve"> PAGEREF _Toc69899746 \h </w:instrText>
        </w:r>
        <w:r w:rsidR="006F5437">
          <w:rPr>
            <w:noProof/>
            <w:webHidden/>
          </w:rPr>
        </w:r>
        <w:r w:rsidR="006F5437">
          <w:rPr>
            <w:noProof/>
            <w:webHidden/>
          </w:rPr>
          <w:fldChar w:fldCharType="separate"/>
        </w:r>
        <w:r w:rsidR="006F5437">
          <w:rPr>
            <w:noProof/>
            <w:webHidden/>
          </w:rPr>
          <w:t>14</w:t>
        </w:r>
        <w:r w:rsidR="006F5437">
          <w:rPr>
            <w:noProof/>
            <w:webHidden/>
          </w:rPr>
          <w:fldChar w:fldCharType="end"/>
        </w:r>
      </w:hyperlink>
    </w:p>
    <w:p w14:paraId="4B103C6D" w14:textId="0DEE6B37" w:rsidR="006F5437" w:rsidRDefault="005E5572">
      <w:pPr>
        <w:pStyle w:val="TOC3"/>
        <w:tabs>
          <w:tab w:val="left" w:pos="1100"/>
          <w:tab w:val="right" w:leader="dot" w:pos="9060"/>
        </w:tabs>
        <w:rPr>
          <w:rFonts w:eastAsiaTheme="minorEastAsia" w:cstheme="minorBidi"/>
          <w:i w:val="0"/>
          <w:iCs w:val="0"/>
          <w:noProof/>
          <w:sz w:val="22"/>
          <w:szCs w:val="22"/>
          <w:lang w:eastAsia="en-GB" w:bidi="ar-SA"/>
        </w:rPr>
      </w:pPr>
      <w:hyperlink w:anchor="_Toc69899747" w:history="1">
        <w:r w:rsidR="006F5437" w:rsidRPr="00DA72EE">
          <w:rPr>
            <w:rStyle w:val="Hyperlink"/>
            <w:noProof/>
          </w:rPr>
          <w:t>3.2.1</w:t>
        </w:r>
        <w:r w:rsidR="006F5437">
          <w:rPr>
            <w:rFonts w:eastAsiaTheme="minorEastAsia" w:cstheme="minorBidi"/>
            <w:i w:val="0"/>
            <w:iCs w:val="0"/>
            <w:noProof/>
            <w:sz w:val="22"/>
            <w:szCs w:val="22"/>
            <w:lang w:eastAsia="en-GB" w:bidi="ar-SA"/>
          </w:rPr>
          <w:tab/>
        </w:r>
        <w:r w:rsidR="006F5437" w:rsidRPr="00DA72EE">
          <w:rPr>
            <w:rStyle w:val="Hyperlink"/>
            <w:noProof/>
          </w:rPr>
          <w:t>Evaluation of the submitted data</w:t>
        </w:r>
        <w:r w:rsidR="006F5437">
          <w:rPr>
            <w:noProof/>
            <w:webHidden/>
          </w:rPr>
          <w:tab/>
        </w:r>
        <w:r w:rsidR="006F5437">
          <w:rPr>
            <w:noProof/>
            <w:webHidden/>
          </w:rPr>
          <w:fldChar w:fldCharType="begin"/>
        </w:r>
        <w:r w:rsidR="006F5437">
          <w:rPr>
            <w:noProof/>
            <w:webHidden/>
          </w:rPr>
          <w:instrText xml:space="preserve"> PAGEREF _Toc69899747 \h </w:instrText>
        </w:r>
        <w:r w:rsidR="006F5437">
          <w:rPr>
            <w:noProof/>
            <w:webHidden/>
          </w:rPr>
        </w:r>
        <w:r w:rsidR="006F5437">
          <w:rPr>
            <w:noProof/>
            <w:webHidden/>
          </w:rPr>
          <w:fldChar w:fldCharType="separate"/>
        </w:r>
        <w:r w:rsidR="006F5437">
          <w:rPr>
            <w:noProof/>
            <w:webHidden/>
          </w:rPr>
          <w:t>14</w:t>
        </w:r>
        <w:r w:rsidR="006F5437">
          <w:rPr>
            <w:noProof/>
            <w:webHidden/>
          </w:rPr>
          <w:fldChar w:fldCharType="end"/>
        </w:r>
      </w:hyperlink>
    </w:p>
    <w:p w14:paraId="48EAFCEF" w14:textId="7EB82786" w:rsidR="006F5437" w:rsidRDefault="005E5572">
      <w:pPr>
        <w:pStyle w:val="TOC3"/>
        <w:tabs>
          <w:tab w:val="left" w:pos="1100"/>
          <w:tab w:val="right" w:leader="dot" w:pos="9060"/>
        </w:tabs>
        <w:rPr>
          <w:rFonts w:eastAsiaTheme="minorEastAsia" w:cstheme="minorBidi"/>
          <w:i w:val="0"/>
          <w:iCs w:val="0"/>
          <w:noProof/>
          <w:sz w:val="22"/>
          <w:szCs w:val="22"/>
          <w:lang w:eastAsia="en-GB" w:bidi="ar-SA"/>
        </w:rPr>
      </w:pPr>
      <w:hyperlink w:anchor="_Toc69899748" w:history="1">
        <w:r w:rsidR="006F5437" w:rsidRPr="00DA72EE">
          <w:rPr>
            <w:rStyle w:val="Hyperlink"/>
            <w:noProof/>
          </w:rPr>
          <w:t>3.2.2</w:t>
        </w:r>
        <w:r w:rsidR="006F5437">
          <w:rPr>
            <w:rFonts w:eastAsiaTheme="minorEastAsia" w:cstheme="minorBidi"/>
            <w:i w:val="0"/>
            <w:iCs w:val="0"/>
            <w:noProof/>
            <w:sz w:val="22"/>
            <w:szCs w:val="22"/>
            <w:lang w:eastAsia="en-GB" w:bidi="ar-SA"/>
          </w:rPr>
          <w:tab/>
        </w:r>
        <w:r w:rsidR="006F5437" w:rsidRPr="00DA72EE">
          <w:rPr>
            <w:rStyle w:val="Hyperlink"/>
            <w:noProof/>
          </w:rPr>
          <w:t>Characteristics of nicotinamide riboside chloride</w:t>
        </w:r>
        <w:r w:rsidR="006F5437">
          <w:rPr>
            <w:noProof/>
            <w:webHidden/>
          </w:rPr>
          <w:tab/>
        </w:r>
        <w:r w:rsidR="006F5437">
          <w:rPr>
            <w:noProof/>
            <w:webHidden/>
          </w:rPr>
          <w:fldChar w:fldCharType="begin"/>
        </w:r>
        <w:r w:rsidR="006F5437">
          <w:rPr>
            <w:noProof/>
            <w:webHidden/>
          </w:rPr>
          <w:instrText xml:space="preserve"> PAGEREF _Toc69899748 \h </w:instrText>
        </w:r>
        <w:r w:rsidR="006F5437">
          <w:rPr>
            <w:noProof/>
            <w:webHidden/>
          </w:rPr>
        </w:r>
        <w:r w:rsidR="006F5437">
          <w:rPr>
            <w:noProof/>
            <w:webHidden/>
          </w:rPr>
          <w:fldChar w:fldCharType="separate"/>
        </w:r>
        <w:r w:rsidR="006F5437">
          <w:rPr>
            <w:noProof/>
            <w:webHidden/>
          </w:rPr>
          <w:t>14</w:t>
        </w:r>
        <w:r w:rsidR="006F5437">
          <w:rPr>
            <w:noProof/>
            <w:webHidden/>
          </w:rPr>
          <w:fldChar w:fldCharType="end"/>
        </w:r>
      </w:hyperlink>
    </w:p>
    <w:p w14:paraId="79F646C5" w14:textId="718AE2CF" w:rsidR="006F5437" w:rsidRDefault="005E5572">
      <w:pPr>
        <w:pStyle w:val="TOC2"/>
        <w:tabs>
          <w:tab w:val="left" w:pos="880"/>
          <w:tab w:val="right" w:leader="dot" w:pos="9060"/>
        </w:tabs>
        <w:rPr>
          <w:rFonts w:eastAsiaTheme="minorEastAsia" w:cstheme="minorBidi"/>
          <w:smallCaps w:val="0"/>
          <w:noProof/>
          <w:sz w:val="22"/>
          <w:szCs w:val="22"/>
          <w:lang w:eastAsia="en-GB" w:bidi="ar-SA"/>
        </w:rPr>
      </w:pPr>
      <w:hyperlink w:anchor="_Toc69899749" w:history="1">
        <w:r w:rsidR="006F5437" w:rsidRPr="00DA72EE">
          <w:rPr>
            <w:rStyle w:val="Hyperlink"/>
            <w:noProof/>
          </w:rPr>
          <w:t>3.3</w:t>
        </w:r>
        <w:r w:rsidR="006F5437">
          <w:rPr>
            <w:rFonts w:eastAsiaTheme="minorEastAsia" w:cstheme="minorBidi"/>
            <w:smallCaps w:val="0"/>
            <w:noProof/>
            <w:sz w:val="22"/>
            <w:szCs w:val="22"/>
            <w:lang w:eastAsia="en-GB" w:bidi="ar-SA"/>
          </w:rPr>
          <w:tab/>
        </w:r>
        <w:r w:rsidR="006F5437" w:rsidRPr="00DA72EE">
          <w:rPr>
            <w:rStyle w:val="Hyperlink"/>
            <w:noProof/>
          </w:rPr>
          <w:t>Toxicological data</w:t>
        </w:r>
        <w:r w:rsidR="006F5437">
          <w:rPr>
            <w:noProof/>
            <w:webHidden/>
          </w:rPr>
          <w:tab/>
        </w:r>
        <w:r w:rsidR="006F5437">
          <w:rPr>
            <w:noProof/>
            <w:webHidden/>
          </w:rPr>
          <w:fldChar w:fldCharType="begin"/>
        </w:r>
        <w:r w:rsidR="006F5437">
          <w:rPr>
            <w:noProof/>
            <w:webHidden/>
          </w:rPr>
          <w:instrText xml:space="preserve"> PAGEREF _Toc69899749 \h </w:instrText>
        </w:r>
        <w:r w:rsidR="006F5437">
          <w:rPr>
            <w:noProof/>
            <w:webHidden/>
          </w:rPr>
        </w:r>
        <w:r w:rsidR="006F5437">
          <w:rPr>
            <w:noProof/>
            <w:webHidden/>
          </w:rPr>
          <w:fldChar w:fldCharType="separate"/>
        </w:r>
        <w:r w:rsidR="006F5437">
          <w:rPr>
            <w:noProof/>
            <w:webHidden/>
          </w:rPr>
          <w:t>14</w:t>
        </w:r>
        <w:r w:rsidR="006F5437">
          <w:rPr>
            <w:noProof/>
            <w:webHidden/>
          </w:rPr>
          <w:fldChar w:fldCharType="end"/>
        </w:r>
      </w:hyperlink>
    </w:p>
    <w:p w14:paraId="7805ED9F" w14:textId="48591ACD" w:rsidR="006F5437" w:rsidRDefault="005E5572">
      <w:pPr>
        <w:pStyle w:val="TOC3"/>
        <w:tabs>
          <w:tab w:val="left" w:pos="1100"/>
          <w:tab w:val="right" w:leader="dot" w:pos="9060"/>
        </w:tabs>
        <w:rPr>
          <w:rFonts w:eastAsiaTheme="minorEastAsia" w:cstheme="minorBidi"/>
          <w:i w:val="0"/>
          <w:iCs w:val="0"/>
          <w:noProof/>
          <w:sz w:val="22"/>
          <w:szCs w:val="22"/>
          <w:lang w:eastAsia="en-GB" w:bidi="ar-SA"/>
        </w:rPr>
      </w:pPr>
      <w:hyperlink w:anchor="_Toc69899750" w:history="1">
        <w:r w:rsidR="006F5437" w:rsidRPr="00DA72EE">
          <w:rPr>
            <w:rStyle w:val="Hyperlink"/>
            <w:noProof/>
          </w:rPr>
          <w:t>3.3.1</w:t>
        </w:r>
        <w:r w:rsidR="006F5437">
          <w:rPr>
            <w:rFonts w:eastAsiaTheme="minorEastAsia" w:cstheme="minorBidi"/>
            <w:i w:val="0"/>
            <w:iCs w:val="0"/>
            <w:noProof/>
            <w:sz w:val="22"/>
            <w:szCs w:val="22"/>
            <w:lang w:eastAsia="en-GB" w:bidi="ar-SA"/>
          </w:rPr>
          <w:tab/>
        </w:r>
        <w:r w:rsidR="006F5437" w:rsidRPr="00DA72EE">
          <w:rPr>
            <w:rStyle w:val="Hyperlink"/>
            <w:noProof/>
          </w:rPr>
          <w:t>Acute toxicity studies in animals</w:t>
        </w:r>
        <w:r w:rsidR="006F5437">
          <w:rPr>
            <w:noProof/>
            <w:webHidden/>
          </w:rPr>
          <w:tab/>
        </w:r>
        <w:r w:rsidR="006F5437">
          <w:rPr>
            <w:noProof/>
            <w:webHidden/>
          </w:rPr>
          <w:fldChar w:fldCharType="begin"/>
        </w:r>
        <w:r w:rsidR="006F5437">
          <w:rPr>
            <w:noProof/>
            <w:webHidden/>
          </w:rPr>
          <w:instrText xml:space="preserve"> PAGEREF _Toc69899750 \h </w:instrText>
        </w:r>
        <w:r w:rsidR="006F5437">
          <w:rPr>
            <w:noProof/>
            <w:webHidden/>
          </w:rPr>
        </w:r>
        <w:r w:rsidR="006F5437">
          <w:rPr>
            <w:noProof/>
            <w:webHidden/>
          </w:rPr>
          <w:fldChar w:fldCharType="separate"/>
        </w:r>
        <w:r w:rsidR="006F5437">
          <w:rPr>
            <w:noProof/>
            <w:webHidden/>
          </w:rPr>
          <w:t>14</w:t>
        </w:r>
        <w:r w:rsidR="006F5437">
          <w:rPr>
            <w:noProof/>
            <w:webHidden/>
          </w:rPr>
          <w:fldChar w:fldCharType="end"/>
        </w:r>
      </w:hyperlink>
    </w:p>
    <w:p w14:paraId="1679E8EC" w14:textId="11C7461F" w:rsidR="006F5437" w:rsidRDefault="005E5572">
      <w:pPr>
        <w:pStyle w:val="TOC3"/>
        <w:tabs>
          <w:tab w:val="left" w:pos="1100"/>
          <w:tab w:val="right" w:leader="dot" w:pos="9060"/>
        </w:tabs>
        <w:rPr>
          <w:rFonts w:eastAsiaTheme="minorEastAsia" w:cstheme="minorBidi"/>
          <w:i w:val="0"/>
          <w:iCs w:val="0"/>
          <w:noProof/>
          <w:sz w:val="22"/>
          <w:szCs w:val="22"/>
          <w:lang w:eastAsia="en-GB" w:bidi="ar-SA"/>
        </w:rPr>
      </w:pPr>
      <w:hyperlink w:anchor="_Toc69899751" w:history="1">
        <w:r w:rsidR="006F5437" w:rsidRPr="00DA72EE">
          <w:rPr>
            <w:rStyle w:val="Hyperlink"/>
            <w:noProof/>
          </w:rPr>
          <w:t>3.3.2</w:t>
        </w:r>
        <w:r w:rsidR="006F5437">
          <w:rPr>
            <w:rFonts w:eastAsiaTheme="minorEastAsia" w:cstheme="minorBidi"/>
            <w:i w:val="0"/>
            <w:iCs w:val="0"/>
            <w:noProof/>
            <w:sz w:val="22"/>
            <w:szCs w:val="22"/>
            <w:lang w:eastAsia="en-GB" w:bidi="ar-SA"/>
          </w:rPr>
          <w:tab/>
        </w:r>
        <w:r w:rsidR="006F5437" w:rsidRPr="00DA72EE">
          <w:rPr>
            <w:rStyle w:val="Hyperlink"/>
            <w:noProof/>
          </w:rPr>
          <w:t>Short-term toxicity studies in animals</w:t>
        </w:r>
        <w:r w:rsidR="006F5437">
          <w:rPr>
            <w:noProof/>
            <w:webHidden/>
          </w:rPr>
          <w:tab/>
        </w:r>
        <w:r w:rsidR="006F5437">
          <w:rPr>
            <w:noProof/>
            <w:webHidden/>
          </w:rPr>
          <w:fldChar w:fldCharType="begin"/>
        </w:r>
        <w:r w:rsidR="006F5437">
          <w:rPr>
            <w:noProof/>
            <w:webHidden/>
          </w:rPr>
          <w:instrText xml:space="preserve"> PAGEREF _Toc69899751 \h </w:instrText>
        </w:r>
        <w:r w:rsidR="006F5437">
          <w:rPr>
            <w:noProof/>
            <w:webHidden/>
          </w:rPr>
        </w:r>
        <w:r w:rsidR="006F5437">
          <w:rPr>
            <w:noProof/>
            <w:webHidden/>
          </w:rPr>
          <w:fldChar w:fldCharType="separate"/>
        </w:r>
        <w:r w:rsidR="006F5437">
          <w:rPr>
            <w:noProof/>
            <w:webHidden/>
          </w:rPr>
          <w:t>15</w:t>
        </w:r>
        <w:r w:rsidR="006F5437">
          <w:rPr>
            <w:noProof/>
            <w:webHidden/>
          </w:rPr>
          <w:fldChar w:fldCharType="end"/>
        </w:r>
      </w:hyperlink>
    </w:p>
    <w:p w14:paraId="5DE95876" w14:textId="299682B5" w:rsidR="006F5437" w:rsidRDefault="005E5572">
      <w:pPr>
        <w:pStyle w:val="TOC3"/>
        <w:tabs>
          <w:tab w:val="left" w:pos="1100"/>
          <w:tab w:val="right" w:leader="dot" w:pos="9060"/>
        </w:tabs>
        <w:rPr>
          <w:rFonts w:eastAsiaTheme="minorEastAsia" w:cstheme="minorBidi"/>
          <w:i w:val="0"/>
          <w:iCs w:val="0"/>
          <w:noProof/>
          <w:sz w:val="22"/>
          <w:szCs w:val="22"/>
          <w:lang w:eastAsia="en-GB" w:bidi="ar-SA"/>
        </w:rPr>
      </w:pPr>
      <w:hyperlink w:anchor="_Toc69899752" w:history="1">
        <w:r w:rsidR="006F5437" w:rsidRPr="00DA72EE">
          <w:rPr>
            <w:rStyle w:val="Hyperlink"/>
            <w:noProof/>
          </w:rPr>
          <w:t>3.3.3</w:t>
        </w:r>
        <w:r w:rsidR="006F5437">
          <w:rPr>
            <w:rFonts w:eastAsiaTheme="minorEastAsia" w:cstheme="minorBidi"/>
            <w:i w:val="0"/>
            <w:iCs w:val="0"/>
            <w:noProof/>
            <w:sz w:val="22"/>
            <w:szCs w:val="22"/>
            <w:lang w:eastAsia="en-GB" w:bidi="ar-SA"/>
          </w:rPr>
          <w:tab/>
        </w:r>
        <w:r w:rsidR="006F5437" w:rsidRPr="00DA72EE">
          <w:rPr>
            <w:rStyle w:val="Hyperlink"/>
            <w:noProof/>
          </w:rPr>
          <w:t>Long-term toxicity/carcinogenicity studies in animals</w:t>
        </w:r>
        <w:r w:rsidR="006F5437">
          <w:rPr>
            <w:noProof/>
            <w:webHidden/>
          </w:rPr>
          <w:tab/>
        </w:r>
        <w:r w:rsidR="006F5437">
          <w:rPr>
            <w:noProof/>
            <w:webHidden/>
          </w:rPr>
          <w:fldChar w:fldCharType="begin"/>
        </w:r>
        <w:r w:rsidR="006F5437">
          <w:rPr>
            <w:noProof/>
            <w:webHidden/>
          </w:rPr>
          <w:instrText xml:space="preserve"> PAGEREF _Toc69899752 \h </w:instrText>
        </w:r>
        <w:r w:rsidR="006F5437">
          <w:rPr>
            <w:noProof/>
            <w:webHidden/>
          </w:rPr>
        </w:r>
        <w:r w:rsidR="006F5437">
          <w:rPr>
            <w:noProof/>
            <w:webHidden/>
          </w:rPr>
          <w:fldChar w:fldCharType="separate"/>
        </w:r>
        <w:r w:rsidR="006F5437">
          <w:rPr>
            <w:noProof/>
            <w:webHidden/>
          </w:rPr>
          <w:t>17</w:t>
        </w:r>
        <w:r w:rsidR="006F5437">
          <w:rPr>
            <w:noProof/>
            <w:webHidden/>
          </w:rPr>
          <w:fldChar w:fldCharType="end"/>
        </w:r>
      </w:hyperlink>
    </w:p>
    <w:p w14:paraId="5BF37F95" w14:textId="576AEACB" w:rsidR="006F5437" w:rsidRDefault="005E5572">
      <w:pPr>
        <w:pStyle w:val="TOC3"/>
        <w:tabs>
          <w:tab w:val="left" w:pos="1100"/>
          <w:tab w:val="right" w:leader="dot" w:pos="9060"/>
        </w:tabs>
        <w:rPr>
          <w:rFonts w:eastAsiaTheme="minorEastAsia" w:cstheme="minorBidi"/>
          <w:i w:val="0"/>
          <w:iCs w:val="0"/>
          <w:noProof/>
          <w:sz w:val="22"/>
          <w:szCs w:val="22"/>
          <w:lang w:eastAsia="en-GB" w:bidi="ar-SA"/>
        </w:rPr>
      </w:pPr>
      <w:hyperlink w:anchor="_Toc69899753" w:history="1">
        <w:r w:rsidR="006F5437" w:rsidRPr="00DA72EE">
          <w:rPr>
            <w:rStyle w:val="Hyperlink"/>
            <w:noProof/>
          </w:rPr>
          <w:t>3.3.4</w:t>
        </w:r>
        <w:r w:rsidR="006F5437">
          <w:rPr>
            <w:rFonts w:eastAsiaTheme="minorEastAsia" w:cstheme="minorBidi"/>
            <w:i w:val="0"/>
            <w:iCs w:val="0"/>
            <w:noProof/>
            <w:sz w:val="22"/>
            <w:szCs w:val="22"/>
            <w:lang w:eastAsia="en-GB" w:bidi="ar-SA"/>
          </w:rPr>
          <w:tab/>
        </w:r>
        <w:r w:rsidR="006F5437" w:rsidRPr="00DA72EE">
          <w:rPr>
            <w:rStyle w:val="Hyperlink"/>
            <w:noProof/>
          </w:rPr>
          <w:t>Genotoxicity assays</w:t>
        </w:r>
        <w:r w:rsidR="006F5437">
          <w:rPr>
            <w:noProof/>
            <w:webHidden/>
          </w:rPr>
          <w:tab/>
        </w:r>
        <w:r w:rsidR="006F5437">
          <w:rPr>
            <w:noProof/>
            <w:webHidden/>
          </w:rPr>
          <w:fldChar w:fldCharType="begin"/>
        </w:r>
        <w:r w:rsidR="006F5437">
          <w:rPr>
            <w:noProof/>
            <w:webHidden/>
          </w:rPr>
          <w:instrText xml:space="preserve"> PAGEREF _Toc69899753 \h </w:instrText>
        </w:r>
        <w:r w:rsidR="006F5437">
          <w:rPr>
            <w:noProof/>
            <w:webHidden/>
          </w:rPr>
        </w:r>
        <w:r w:rsidR="006F5437">
          <w:rPr>
            <w:noProof/>
            <w:webHidden/>
          </w:rPr>
          <w:fldChar w:fldCharType="separate"/>
        </w:r>
        <w:r w:rsidR="006F5437">
          <w:rPr>
            <w:noProof/>
            <w:webHidden/>
          </w:rPr>
          <w:t>17</w:t>
        </w:r>
        <w:r w:rsidR="006F5437">
          <w:rPr>
            <w:noProof/>
            <w:webHidden/>
          </w:rPr>
          <w:fldChar w:fldCharType="end"/>
        </w:r>
      </w:hyperlink>
    </w:p>
    <w:p w14:paraId="2772535E" w14:textId="485FADF6" w:rsidR="006F5437" w:rsidRDefault="005E5572">
      <w:pPr>
        <w:pStyle w:val="TOC3"/>
        <w:tabs>
          <w:tab w:val="left" w:pos="1100"/>
          <w:tab w:val="right" w:leader="dot" w:pos="9060"/>
        </w:tabs>
        <w:rPr>
          <w:rFonts w:eastAsiaTheme="minorEastAsia" w:cstheme="minorBidi"/>
          <w:i w:val="0"/>
          <w:iCs w:val="0"/>
          <w:noProof/>
          <w:sz w:val="22"/>
          <w:szCs w:val="22"/>
          <w:lang w:eastAsia="en-GB" w:bidi="ar-SA"/>
        </w:rPr>
      </w:pPr>
      <w:hyperlink w:anchor="_Toc69899754" w:history="1">
        <w:r w:rsidR="006F5437" w:rsidRPr="00DA72EE">
          <w:rPr>
            <w:rStyle w:val="Hyperlink"/>
            <w:noProof/>
          </w:rPr>
          <w:t>3.3.5</w:t>
        </w:r>
        <w:r w:rsidR="006F5437">
          <w:rPr>
            <w:rFonts w:eastAsiaTheme="minorEastAsia" w:cstheme="minorBidi"/>
            <w:i w:val="0"/>
            <w:iCs w:val="0"/>
            <w:noProof/>
            <w:sz w:val="22"/>
            <w:szCs w:val="22"/>
            <w:lang w:eastAsia="en-GB" w:bidi="ar-SA"/>
          </w:rPr>
          <w:tab/>
        </w:r>
        <w:r w:rsidR="006F5437" w:rsidRPr="00DA72EE">
          <w:rPr>
            <w:rStyle w:val="Hyperlink"/>
            <w:noProof/>
          </w:rPr>
          <w:t>Developmental and reproductive studies in animals</w:t>
        </w:r>
        <w:r w:rsidR="006F5437">
          <w:rPr>
            <w:noProof/>
            <w:webHidden/>
          </w:rPr>
          <w:tab/>
        </w:r>
        <w:r w:rsidR="006F5437">
          <w:rPr>
            <w:noProof/>
            <w:webHidden/>
          </w:rPr>
          <w:fldChar w:fldCharType="begin"/>
        </w:r>
        <w:r w:rsidR="006F5437">
          <w:rPr>
            <w:noProof/>
            <w:webHidden/>
          </w:rPr>
          <w:instrText xml:space="preserve"> PAGEREF _Toc69899754 \h </w:instrText>
        </w:r>
        <w:r w:rsidR="006F5437">
          <w:rPr>
            <w:noProof/>
            <w:webHidden/>
          </w:rPr>
        </w:r>
        <w:r w:rsidR="006F5437">
          <w:rPr>
            <w:noProof/>
            <w:webHidden/>
          </w:rPr>
          <w:fldChar w:fldCharType="separate"/>
        </w:r>
        <w:r w:rsidR="006F5437">
          <w:rPr>
            <w:noProof/>
            <w:webHidden/>
          </w:rPr>
          <w:t>18</w:t>
        </w:r>
        <w:r w:rsidR="006F5437">
          <w:rPr>
            <w:noProof/>
            <w:webHidden/>
          </w:rPr>
          <w:fldChar w:fldCharType="end"/>
        </w:r>
      </w:hyperlink>
    </w:p>
    <w:p w14:paraId="67F507A0" w14:textId="33C074E7" w:rsidR="006F5437" w:rsidRDefault="005E5572">
      <w:pPr>
        <w:pStyle w:val="TOC3"/>
        <w:tabs>
          <w:tab w:val="left" w:pos="1100"/>
          <w:tab w:val="right" w:leader="dot" w:pos="9060"/>
        </w:tabs>
        <w:rPr>
          <w:rFonts w:eastAsiaTheme="minorEastAsia" w:cstheme="minorBidi"/>
          <w:i w:val="0"/>
          <w:iCs w:val="0"/>
          <w:noProof/>
          <w:sz w:val="22"/>
          <w:szCs w:val="22"/>
          <w:lang w:eastAsia="en-GB" w:bidi="ar-SA"/>
        </w:rPr>
      </w:pPr>
      <w:hyperlink w:anchor="_Toc69899755" w:history="1">
        <w:r w:rsidR="006F5437" w:rsidRPr="00DA72EE">
          <w:rPr>
            <w:rStyle w:val="Hyperlink"/>
            <w:noProof/>
          </w:rPr>
          <w:t>3.3.6</w:t>
        </w:r>
        <w:r w:rsidR="006F5437">
          <w:rPr>
            <w:rFonts w:eastAsiaTheme="minorEastAsia" w:cstheme="minorBidi"/>
            <w:i w:val="0"/>
            <w:iCs w:val="0"/>
            <w:noProof/>
            <w:sz w:val="22"/>
            <w:szCs w:val="22"/>
            <w:lang w:eastAsia="en-GB" w:bidi="ar-SA"/>
          </w:rPr>
          <w:tab/>
        </w:r>
        <w:r w:rsidR="006F5437" w:rsidRPr="00DA72EE">
          <w:rPr>
            <w:rStyle w:val="Hyperlink"/>
            <w:noProof/>
          </w:rPr>
          <w:t>Human tolerance studies</w:t>
        </w:r>
        <w:r w:rsidR="006F5437">
          <w:rPr>
            <w:noProof/>
            <w:webHidden/>
          </w:rPr>
          <w:tab/>
        </w:r>
        <w:r w:rsidR="006F5437">
          <w:rPr>
            <w:noProof/>
            <w:webHidden/>
          </w:rPr>
          <w:fldChar w:fldCharType="begin"/>
        </w:r>
        <w:r w:rsidR="006F5437">
          <w:rPr>
            <w:noProof/>
            <w:webHidden/>
          </w:rPr>
          <w:instrText xml:space="preserve"> PAGEREF _Toc69899755 \h </w:instrText>
        </w:r>
        <w:r w:rsidR="006F5437">
          <w:rPr>
            <w:noProof/>
            <w:webHidden/>
          </w:rPr>
        </w:r>
        <w:r w:rsidR="006F5437">
          <w:rPr>
            <w:noProof/>
            <w:webHidden/>
          </w:rPr>
          <w:fldChar w:fldCharType="separate"/>
        </w:r>
        <w:r w:rsidR="006F5437">
          <w:rPr>
            <w:noProof/>
            <w:webHidden/>
          </w:rPr>
          <w:t>19</w:t>
        </w:r>
        <w:r w:rsidR="006F5437">
          <w:rPr>
            <w:noProof/>
            <w:webHidden/>
          </w:rPr>
          <w:fldChar w:fldCharType="end"/>
        </w:r>
      </w:hyperlink>
    </w:p>
    <w:p w14:paraId="3E327418" w14:textId="5567FFBA" w:rsidR="006F5437" w:rsidRDefault="005E5572">
      <w:pPr>
        <w:pStyle w:val="TOC3"/>
        <w:tabs>
          <w:tab w:val="left" w:pos="1100"/>
          <w:tab w:val="right" w:leader="dot" w:pos="9060"/>
        </w:tabs>
        <w:rPr>
          <w:rFonts w:eastAsiaTheme="minorEastAsia" w:cstheme="minorBidi"/>
          <w:i w:val="0"/>
          <w:iCs w:val="0"/>
          <w:noProof/>
          <w:sz w:val="22"/>
          <w:szCs w:val="22"/>
          <w:lang w:eastAsia="en-GB" w:bidi="ar-SA"/>
        </w:rPr>
      </w:pPr>
      <w:hyperlink w:anchor="_Toc69899756" w:history="1">
        <w:r w:rsidR="006F5437" w:rsidRPr="00DA72EE">
          <w:rPr>
            <w:rStyle w:val="Hyperlink"/>
            <w:noProof/>
          </w:rPr>
          <w:t>3.3.7</w:t>
        </w:r>
        <w:r w:rsidR="006F5437">
          <w:rPr>
            <w:rFonts w:eastAsiaTheme="minorEastAsia" w:cstheme="minorBidi"/>
            <w:i w:val="0"/>
            <w:iCs w:val="0"/>
            <w:noProof/>
            <w:sz w:val="22"/>
            <w:szCs w:val="22"/>
            <w:lang w:eastAsia="en-GB" w:bidi="ar-SA"/>
          </w:rPr>
          <w:tab/>
        </w:r>
        <w:r w:rsidR="006F5437" w:rsidRPr="00DA72EE">
          <w:rPr>
            <w:rStyle w:val="Hyperlink"/>
            <w:noProof/>
          </w:rPr>
          <w:t>Flushing</w:t>
        </w:r>
        <w:r w:rsidR="006F5437">
          <w:rPr>
            <w:noProof/>
            <w:webHidden/>
          </w:rPr>
          <w:tab/>
        </w:r>
        <w:r w:rsidR="006F5437">
          <w:rPr>
            <w:noProof/>
            <w:webHidden/>
          </w:rPr>
          <w:fldChar w:fldCharType="begin"/>
        </w:r>
        <w:r w:rsidR="006F5437">
          <w:rPr>
            <w:noProof/>
            <w:webHidden/>
          </w:rPr>
          <w:instrText xml:space="preserve"> PAGEREF _Toc69899756 \h </w:instrText>
        </w:r>
        <w:r w:rsidR="006F5437">
          <w:rPr>
            <w:noProof/>
            <w:webHidden/>
          </w:rPr>
        </w:r>
        <w:r w:rsidR="006F5437">
          <w:rPr>
            <w:noProof/>
            <w:webHidden/>
          </w:rPr>
          <w:fldChar w:fldCharType="separate"/>
        </w:r>
        <w:r w:rsidR="006F5437">
          <w:rPr>
            <w:noProof/>
            <w:webHidden/>
          </w:rPr>
          <w:t>23</w:t>
        </w:r>
        <w:r w:rsidR="006F5437">
          <w:rPr>
            <w:noProof/>
            <w:webHidden/>
          </w:rPr>
          <w:fldChar w:fldCharType="end"/>
        </w:r>
      </w:hyperlink>
    </w:p>
    <w:p w14:paraId="309C96EF" w14:textId="559DDB06" w:rsidR="006F5437" w:rsidRDefault="005E5572">
      <w:pPr>
        <w:pStyle w:val="TOC3"/>
        <w:tabs>
          <w:tab w:val="left" w:pos="1100"/>
          <w:tab w:val="right" w:leader="dot" w:pos="9060"/>
        </w:tabs>
        <w:rPr>
          <w:rFonts w:eastAsiaTheme="minorEastAsia" w:cstheme="minorBidi"/>
          <w:i w:val="0"/>
          <w:iCs w:val="0"/>
          <w:noProof/>
          <w:sz w:val="22"/>
          <w:szCs w:val="22"/>
          <w:lang w:eastAsia="en-GB" w:bidi="ar-SA"/>
        </w:rPr>
      </w:pPr>
      <w:hyperlink w:anchor="_Toc69899757" w:history="1">
        <w:r w:rsidR="006F5437" w:rsidRPr="00DA72EE">
          <w:rPr>
            <w:rStyle w:val="Hyperlink"/>
            <w:noProof/>
          </w:rPr>
          <w:t>3.3.8</w:t>
        </w:r>
        <w:r w:rsidR="006F5437">
          <w:rPr>
            <w:rFonts w:eastAsiaTheme="minorEastAsia" w:cstheme="minorBidi"/>
            <w:i w:val="0"/>
            <w:iCs w:val="0"/>
            <w:noProof/>
            <w:sz w:val="22"/>
            <w:szCs w:val="22"/>
            <w:lang w:eastAsia="en-GB" w:bidi="ar-SA"/>
          </w:rPr>
          <w:tab/>
        </w:r>
        <w:r w:rsidR="006F5437" w:rsidRPr="00DA72EE">
          <w:rPr>
            <w:rStyle w:val="Hyperlink"/>
            <w:noProof/>
          </w:rPr>
          <w:t>Human allergenic  potential</w:t>
        </w:r>
        <w:r w:rsidR="006F5437">
          <w:rPr>
            <w:noProof/>
            <w:webHidden/>
          </w:rPr>
          <w:tab/>
        </w:r>
        <w:r w:rsidR="006F5437">
          <w:rPr>
            <w:noProof/>
            <w:webHidden/>
          </w:rPr>
          <w:fldChar w:fldCharType="begin"/>
        </w:r>
        <w:r w:rsidR="006F5437">
          <w:rPr>
            <w:noProof/>
            <w:webHidden/>
          </w:rPr>
          <w:instrText xml:space="preserve"> PAGEREF _Toc69899757 \h </w:instrText>
        </w:r>
        <w:r w:rsidR="006F5437">
          <w:rPr>
            <w:noProof/>
            <w:webHidden/>
          </w:rPr>
        </w:r>
        <w:r w:rsidR="006F5437">
          <w:rPr>
            <w:noProof/>
            <w:webHidden/>
          </w:rPr>
          <w:fldChar w:fldCharType="separate"/>
        </w:r>
        <w:r w:rsidR="006F5437">
          <w:rPr>
            <w:noProof/>
            <w:webHidden/>
          </w:rPr>
          <w:t>23</w:t>
        </w:r>
        <w:r w:rsidR="006F5437">
          <w:rPr>
            <w:noProof/>
            <w:webHidden/>
          </w:rPr>
          <w:fldChar w:fldCharType="end"/>
        </w:r>
      </w:hyperlink>
    </w:p>
    <w:p w14:paraId="02571CFB" w14:textId="7AB1BD56" w:rsidR="006F5437" w:rsidRDefault="005E5572">
      <w:pPr>
        <w:pStyle w:val="TOC3"/>
        <w:tabs>
          <w:tab w:val="left" w:pos="1100"/>
          <w:tab w:val="right" w:leader="dot" w:pos="9060"/>
        </w:tabs>
        <w:rPr>
          <w:rFonts w:eastAsiaTheme="minorEastAsia" w:cstheme="minorBidi"/>
          <w:i w:val="0"/>
          <w:iCs w:val="0"/>
          <w:noProof/>
          <w:sz w:val="22"/>
          <w:szCs w:val="22"/>
          <w:lang w:eastAsia="en-GB" w:bidi="ar-SA"/>
        </w:rPr>
      </w:pPr>
      <w:hyperlink w:anchor="_Toc69899758" w:history="1">
        <w:r w:rsidR="006F5437" w:rsidRPr="00DA72EE">
          <w:rPr>
            <w:rStyle w:val="Hyperlink"/>
            <w:noProof/>
          </w:rPr>
          <w:t>3.3.9</w:t>
        </w:r>
        <w:r w:rsidR="006F5437">
          <w:rPr>
            <w:rFonts w:eastAsiaTheme="minorEastAsia" w:cstheme="minorBidi"/>
            <w:i w:val="0"/>
            <w:iCs w:val="0"/>
            <w:noProof/>
            <w:sz w:val="22"/>
            <w:szCs w:val="22"/>
            <w:lang w:eastAsia="en-GB" w:bidi="ar-SA"/>
          </w:rPr>
          <w:tab/>
        </w:r>
        <w:r w:rsidR="006F5437" w:rsidRPr="00DA72EE">
          <w:rPr>
            <w:rStyle w:val="Hyperlink"/>
            <w:noProof/>
          </w:rPr>
          <w:t>Other studies</w:t>
        </w:r>
        <w:r w:rsidR="006F5437">
          <w:rPr>
            <w:noProof/>
            <w:webHidden/>
          </w:rPr>
          <w:tab/>
        </w:r>
        <w:r w:rsidR="006F5437">
          <w:rPr>
            <w:noProof/>
            <w:webHidden/>
          </w:rPr>
          <w:fldChar w:fldCharType="begin"/>
        </w:r>
        <w:r w:rsidR="006F5437">
          <w:rPr>
            <w:noProof/>
            <w:webHidden/>
          </w:rPr>
          <w:instrText xml:space="preserve"> PAGEREF _Toc69899758 \h </w:instrText>
        </w:r>
        <w:r w:rsidR="006F5437">
          <w:rPr>
            <w:noProof/>
            <w:webHidden/>
          </w:rPr>
        </w:r>
        <w:r w:rsidR="006F5437">
          <w:rPr>
            <w:noProof/>
            <w:webHidden/>
          </w:rPr>
          <w:fldChar w:fldCharType="separate"/>
        </w:r>
        <w:r w:rsidR="006F5437">
          <w:rPr>
            <w:noProof/>
            <w:webHidden/>
          </w:rPr>
          <w:t>23</w:t>
        </w:r>
        <w:r w:rsidR="006F5437">
          <w:rPr>
            <w:noProof/>
            <w:webHidden/>
          </w:rPr>
          <w:fldChar w:fldCharType="end"/>
        </w:r>
      </w:hyperlink>
    </w:p>
    <w:p w14:paraId="62FF679A" w14:textId="136BBBCA" w:rsidR="006F5437" w:rsidRDefault="005E5572">
      <w:pPr>
        <w:pStyle w:val="TOC2"/>
        <w:tabs>
          <w:tab w:val="left" w:pos="880"/>
          <w:tab w:val="right" w:leader="dot" w:pos="9060"/>
        </w:tabs>
        <w:rPr>
          <w:rFonts w:eastAsiaTheme="minorEastAsia" w:cstheme="minorBidi"/>
          <w:smallCaps w:val="0"/>
          <w:noProof/>
          <w:sz w:val="22"/>
          <w:szCs w:val="22"/>
          <w:lang w:eastAsia="en-GB" w:bidi="ar-SA"/>
        </w:rPr>
      </w:pPr>
      <w:hyperlink w:anchor="_Toc69899759" w:history="1">
        <w:r w:rsidR="006F5437" w:rsidRPr="00DA72EE">
          <w:rPr>
            <w:rStyle w:val="Hyperlink"/>
            <w:noProof/>
          </w:rPr>
          <w:t>3.4</w:t>
        </w:r>
        <w:r w:rsidR="006F5437">
          <w:rPr>
            <w:rFonts w:eastAsiaTheme="minorEastAsia" w:cstheme="minorBidi"/>
            <w:smallCaps w:val="0"/>
            <w:noProof/>
            <w:sz w:val="22"/>
            <w:szCs w:val="22"/>
            <w:lang w:eastAsia="en-GB" w:bidi="ar-SA"/>
          </w:rPr>
          <w:tab/>
        </w:r>
        <w:r w:rsidR="006F5437" w:rsidRPr="00DA72EE">
          <w:rPr>
            <w:rStyle w:val="Hyperlink"/>
            <w:noProof/>
          </w:rPr>
          <w:t>Assessments by other regulatory agencies</w:t>
        </w:r>
        <w:r w:rsidR="006F5437">
          <w:rPr>
            <w:noProof/>
            <w:webHidden/>
          </w:rPr>
          <w:tab/>
        </w:r>
        <w:r w:rsidR="006F5437">
          <w:rPr>
            <w:noProof/>
            <w:webHidden/>
          </w:rPr>
          <w:fldChar w:fldCharType="begin"/>
        </w:r>
        <w:r w:rsidR="006F5437">
          <w:rPr>
            <w:noProof/>
            <w:webHidden/>
          </w:rPr>
          <w:instrText xml:space="preserve"> PAGEREF _Toc69899759 \h </w:instrText>
        </w:r>
        <w:r w:rsidR="006F5437">
          <w:rPr>
            <w:noProof/>
            <w:webHidden/>
          </w:rPr>
        </w:r>
        <w:r w:rsidR="006F5437">
          <w:rPr>
            <w:noProof/>
            <w:webHidden/>
          </w:rPr>
          <w:fldChar w:fldCharType="separate"/>
        </w:r>
        <w:r w:rsidR="006F5437">
          <w:rPr>
            <w:noProof/>
            <w:webHidden/>
          </w:rPr>
          <w:t>26</w:t>
        </w:r>
        <w:r w:rsidR="006F5437">
          <w:rPr>
            <w:noProof/>
            <w:webHidden/>
          </w:rPr>
          <w:fldChar w:fldCharType="end"/>
        </w:r>
      </w:hyperlink>
    </w:p>
    <w:p w14:paraId="7B367568" w14:textId="5319DD7B" w:rsidR="006F5437" w:rsidRDefault="005E5572">
      <w:pPr>
        <w:pStyle w:val="TOC2"/>
        <w:tabs>
          <w:tab w:val="left" w:pos="880"/>
          <w:tab w:val="right" w:leader="dot" w:pos="9060"/>
        </w:tabs>
        <w:rPr>
          <w:rFonts w:eastAsiaTheme="minorEastAsia" w:cstheme="minorBidi"/>
          <w:smallCaps w:val="0"/>
          <w:noProof/>
          <w:sz w:val="22"/>
          <w:szCs w:val="22"/>
          <w:lang w:eastAsia="en-GB" w:bidi="ar-SA"/>
        </w:rPr>
      </w:pPr>
      <w:hyperlink w:anchor="_Toc69899760" w:history="1">
        <w:r w:rsidR="006F5437" w:rsidRPr="00DA72EE">
          <w:rPr>
            <w:rStyle w:val="Hyperlink"/>
            <w:noProof/>
          </w:rPr>
          <w:t>3.5</w:t>
        </w:r>
        <w:r w:rsidR="006F5437">
          <w:rPr>
            <w:rFonts w:eastAsiaTheme="minorEastAsia" w:cstheme="minorBidi"/>
            <w:smallCaps w:val="0"/>
            <w:noProof/>
            <w:sz w:val="22"/>
            <w:szCs w:val="22"/>
            <w:lang w:eastAsia="en-GB" w:bidi="ar-SA"/>
          </w:rPr>
          <w:tab/>
        </w:r>
        <w:r w:rsidR="006F5437" w:rsidRPr="00DA72EE">
          <w:rPr>
            <w:rStyle w:val="Hyperlink"/>
            <w:noProof/>
          </w:rPr>
          <w:t>Discussion and conclusion</w:t>
        </w:r>
        <w:r w:rsidR="006F5437">
          <w:rPr>
            <w:noProof/>
            <w:webHidden/>
          </w:rPr>
          <w:tab/>
        </w:r>
        <w:r w:rsidR="006F5437">
          <w:rPr>
            <w:noProof/>
            <w:webHidden/>
          </w:rPr>
          <w:fldChar w:fldCharType="begin"/>
        </w:r>
        <w:r w:rsidR="006F5437">
          <w:rPr>
            <w:noProof/>
            <w:webHidden/>
          </w:rPr>
          <w:instrText xml:space="preserve"> PAGEREF _Toc69899760 \h </w:instrText>
        </w:r>
        <w:r w:rsidR="006F5437">
          <w:rPr>
            <w:noProof/>
            <w:webHidden/>
          </w:rPr>
        </w:r>
        <w:r w:rsidR="006F5437">
          <w:rPr>
            <w:noProof/>
            <w:webHidden/>
          </w:rPr>
          <w:fldChar w:fldCharType="separate"/>
        </w:r>
        <w:r w:rsidR="006F5437">
          <w:rPr>
            <w:noProof/>
            <w:webHidden/>
          </w:rPr>
          <w:t>27</w:t>
        </w:r>
        <w:r w:rsidR="006F5437">
          <w:rPr>
            <w:noProof/>
            <w:webHidden/>
          </w:rPr>
          <w:fldChar w:fldCharType="end"/>
        </w:r>
      </w:hyperlink>
    </w:p>
    <w:p w14:paraId="73430E4A" w14:textId="1F03FBA0" w:rsidR="006F5437" w:rsidRDefault="005E5572">
      <w:pPr>
        <w:pStyle w:val="TOC1"/>
        <w:tabs>
          <w:tab w:val="left" w:pos="440"/>
          <w:tab w:val="right" w:leader="dot" w:pos="9060"/>
        </w:tabs>
        <w:rPr>
          <w:rFonts w:eastAsiaTheme="minorEastAsia" w:cstheme="minorBidi"/>
          <w:b w:val="0"/>
          <w:bCs w:val="0"/>
          <w:caps w:val="0"/>
          <w:noProof/>
          <w:sz w:val="22"/>
          <w:szCs w:val="22"/>
          <w:lang w:eastAsia="en-GB" w:bidi="ar-SA"/>
        </w:rPr>
      </w:pPr>
      <w:hyperlink w:anchor="_Toc69899761" w:history="1">
        <w:r w:rsidR="006F5437" w:rsidRPr="00DA72EE">
          <w:rPr>
            <w:rStyle w:val="Hyperlink"/>
            <w:noProof/>
          </w:rPr>
          <w:t>4</w:t>
        </w:r>
        <w:r w:rsidR="006F5437">
          <w:rPr>
            <w:rFonts w:eastAsiaTheme="minorEastAsia" w:cstheme="minorBidi"/>
            <w:b w:val="0"/>
            <w:bCs w:val="0"/>
            <w:caps w:val="0"/>
            <w:noProof/>
            <w:sz w:val="22"/>
            <w:szCs w:val="22"/>
            <w:lang w:eastAsia="en-GB" w:bidi="ar-SA"/>
          </w:rPr>
          <w:tab/>
        </w:r>
        <w:r w:rsidR="006F5437" w:rsidRPr="00DA72EE">
          <w:rPr>
            <w:rStyle w:val="Hyperlink"/>
            <w:noProof/>
          </w:rPr>
          <w:t>Food Technology Assessment</w:t>
        </w:r>
        <w:r w:rsidR="006F5437">
          <w:rPr>
            <w:noProof/>
            <w:webHidden/>
          </w:rPr>
          <w:tab/>
        </w:r>
        <w:r w:rsidR="006F5437">
          <w:rPr>
            <w:noProof/>
            <w:webHidden/>
          </w:rPr>
          <w:fldChar w:fldCharType="begin"/>
        </w:r>
        <w:r w:rsidR="006F5437">
          <w:rPr>
            <w:noProof/>
            <w:webHidden/>
          </w:rPr>
          <w:instrText xml:space="preserve"> PAGEREF _Toc69899761 \h </w:instrText>
        </w:r>
        <w:r w:rsidR="006F5437">
          <w:rPr>
            <w:noProof/>
            <w:webHidden/>
          </w:rPr>
        </w:r>
        <w:r w:rsidR="006F5437">
          <w:rPr>
            <w:noProof/>
            <w:webHidden/>
          </w:rPr>
          <w:fldChar w:fldCharType="separate"/>
        </w:r>
        <w:r w:rsidR="006F5437">
          <w:rPr>
            <w:noProof/>
            <w:webHidden/>
          </w:rPr>
          <w:t>29</w:t>
        </w:r>
        <w:r w:rsidR="006F5437">
          <w:rPr>
            <w:noProof/>
            <w:webHidden/>
          </w:rPr>
          <w:fldChar w:fldCharType="end"/>
        </w:r>
      </w:hyperlink>
    </w:p>
    <w:p w14:paraId="6E88224B" w14:textId="543AFDFA" w:rsidR="006F5437" w:rsidRDefault="005E5572">
      <w:pPr>
        <w:pStyle w:val="TOC2"/>
        <w:tabs>
          <w:tab w:val="left" w:pos="880"/>
          <w:tab w:val="right" w:leader="dot" w:pos="9060"/>
        </w:tabs>
        <w:rPr>
          <w:rFonts w:eastAsiaTheme="minorEastAsia" w:cstheme="minorBidi"/>
          <w:smallCaps w:val="0"/>
          <w:noProof/>
          <w:sz w:val="22"/>
          <w:szCs w:val="22"/>
          <w:lang w:eastAsia="en-GB" w:bidi="ar-SA"/>
        </w:rPr>
      </w:pPr>
      <w:hyperlink w:anchor="_Toc69899763" w:history="1">
        <w:r w:rsidR="006F5437" w:rsidRPr="00DA72EE">
          <w:rPr>
            <w:rStyle w:val="Hyperlink"/>
            <w:noProof/>
          </w:rPr>
          <w:t>4.1</w:t>
        </w:r>
        <w:r w:rsidR="006F5437">
          <w:rPr>
            <w:rFonts w:eastAsiaTheme="minorEastAsia" w:cstheme="minorBidi"/>
            <w:smallCaps w:val="0"/>
            <w:noProof/>
            <w:sz w:val="22"/>
            <w:szCs w:val="22"/>
            <w:lang w:eastAsia="en-GB" w:bidi="ar-SA"/>
          </w:rPr>
          <w:tab/>
        </w:r>
        <w:r w:rsidR="006F5437" w:rsidRPr="00DA72EE">
          <w:rPr>
            <w:rStyle w:val="Hyperlink"/>
            <w:noProof/>
          </w:rPr>
          <w:t>Objectives for the food technology assessment</w:t>
        </w:r>
        <w:r w:rsidR="006F5437">
          <w:rPr>
            <w:noProof/>
            <w:webHidden/>
          </w:rPr>
          <w:tab/>
        </w:r>
        <w:r w:rsidR="006F5437">
          <w:rPr>
            <w:noProof/>
            <w:webHidden/>
          </w:rPr>
          <w:fldChar w:fldCharType="begin"/>
        </w:r>
        <w:r w:rsidR="006F5437">
          <w:rPr>
            <w:noProof/>
            <w:webHidden/>
          </w:rPr>
          <w:instrText xml:space="preserve"> PAGEREF _Toc69899763 \h </w:instrText>
        </w:r>
        <w:r w:rsidR="006F5437">
          <w:rPr>
            <w:noProof/>
            <w:webHidden/>
          </w:rPr>
        </w:r>
        <w:r w:rsidR="006F5437">
          <w:rPr>
            <w:noProof/>
            <w:webHidden/>
          </w:rPr>
          <w:fldChar w:fldCharType="separate"/>
        </w:r>
        <w:r w:rsidR="006F5437">
          <w:rPr>
            <w:noProof/>
            <w:webHidden/>
          </w:rPr>
          <w:t>29</w:t>
        </w:r>
        <w:r w:rsidR="006F5437">
          <w:rPr>
            <w:noProof/>
            <w:webHidden/>
          </w:rPr>
          <w:fldChar w:fldCharType="end"/>
        </w:r>
      </w:hyperlink>
    </w:p>
    <w:p w14:paraId="7798895C" w14:textId="1B0468A7" w:rsidR="006F5437" w:rsidRDefault="005E5572">
      <w:pPr>
        <w:pStyle w:val="TOC2"/>
        <w:tabs>
          <w:tab w:val="left" w:pos="880"/>
          <w:tab w:val="right" w:leader="dot" w:pos="9060"/>
        </w:tabs>
        <w:rPr>
          <w:rFonts w:eastAsiaTheme="minorEastAsia" w:cstheme="minorBidi"/>
          <w:smallCaps w:val="0"/>
          <w:noProof/>
          <w:sz w:val="22"/>
          <w:szCs w:val="22"/>
          <w:lang w:eastAsia="en-GB" w:bidi="ar-SA"/>
        </w:rPr>
      </w:pPr>
      <w:hyperlink w:anchor="_Toc69899764" w:history="1">
        <w:r w:rsidR="006F5437" w:rsidRPr="00DA72EE">
          <w:rPr>
            <w:rStyle w:val="Hyperlink"/>
            <w:noProof/>
          </w:rPr>
          <w:t>4.2</w:t>
        </w:r>
        <w:r w:rsidR="006F5437">
          <w:rPr>
            <w:rFonts w:eastAsiaTheme="minorEastAsia" w:cstheme="minorBidi"/>
            <w:smallCaps w:val="0"/>
            <w:noProof/>
            <w:sz w:val="22"/>
            <w:szCs w:val="22"/>
            <w:lang w:eastAsia="en-GB" w:bidi="ar-SA"/>
          </w:rPr>
          <w:tab/>
        </w:r>
        <w:r w:rsidR="006F5437" w:rsidRPr="00DA72EE">
          <w:rPr>
            <w:rStyle w:val="Hyperlink"/>
            <w:noProof/>
          </w:rPr>
          <w:t>Chemical properties</w:t>
        </w:r>
        <w:r w:rsidR="006F5437">
          <w:rPr>
            <w:noProof/>
            <w:webHidden/>
          </w:rPr>
          <w:tab/>
        </w:r>
        <w:r w:rsidR="006F5437">
          <w:rPr>
            <w:noProof/>
            <w:webHidden/>
          </w:rPr>
          <w:fldChar w:fldCharType="begin"/>
        </w:r>
        <w:r w:rsidR="006F5437">
          <w:rPr>
            <w:noProof/>
            <w:webHidden/>
          </w:rPr>
          <w:instrText xml:space="preserve"> PAGEREF _Toc69899764 \h </w:instrText>
        </w:r>
        <w:r w:rsidR="006F5437">
          <w:rPr>
            <w:noProof/>
            <w:webHidden/>
          </w:rPr>
        </w:r>
        <w:r w:rsidR="006F5437">
          <w:rPr>
            <w:noProof/>
            <w:webHidden/>
          </w:rPr>
          <w:fldChar w:fldCharType="separate"/>
        </w:r>
        <w:r w:rsidR="006F5437">
          <w:rPr>
            <w:noProof/>
            <w:webHidden/>
          </w:rPr>
          <w:t>29</w:t>
        </w:r>
        <w:r w:rsidR="006F5437">
          <w:rPr>
            <w:noProof/>
            <w:webHidden/>
          </w:rPr>
          <w:fldChar w:fldCharType="end"/>
        </w:r>
      </w:hyperlink>
    </w:p>
    <w:p w14:paraId="31DA80D7" w14:textId="5C4F7A21" w:rsidR="006F5437" w:rsidRDefault="005E5572">
      <w:pPr>
        <w:pStyle w:val="TOC3"/>
        <w:tabs>
          <w:tab w:val="left" w:pos="1100"/>
          <w:tab w:val="right" w:leader="dot" w:pos="9060"/>
        </w:tabs>
        <w:rPr>
          <w:rFonts w:eastAsiaTheme="minorEastAsia" w:cstheme="minorBidi"/>
          <w:i w:val="0"/>
          <w:iCs w:val="0"/>
          <w:noProof/>
          <w:sz w:val="22"/>
          <w:szCs w:val="22"/>
          <w:lang w:eastAsia="en-GB" w:bidi="ar-SA"/>
        </w:rPr>
      </w:pPr>
      <w:hyperlink w:anchor="_Toc69899765" w:history="1">
        <w:r w:rsidR="006F5437" w:rsidRPr="00DA72EE">
          <w:rPr>
            <w:rStyle w:val="Hyperlink"/>
            <w:noProof/>
          </w:rPr>
          <w:t>4.2.1</w:t>
        </w:r>
        <w:r w:rsidR="006F5437">
          <w:rPr>
            <w:rFonts w:eastAsiaTheme="minorEastAsia" w:cstheme="minorBidi"/>
            <w:i w:val="0"/>
            <w:iCs w:val="0"/>
            <w:noProof/>
            <w:sz w:val="22"/>
            <w:szCs w:val="22"/>
            <w:lang w:eastAsia="en-GB" w:bidi="ar-SA"/>
          </w:rPr>
          <w:tab/>
        </w:r>
        <w:r w:rsidR="006F5437" w:rsidRPr="00DA72EE">
          <w:rPr>
            <w:rStyle w:val="Hyperlink"/>
            <w:noProof/>
          </w:rPr>
          <w:t>Chemical names, properties, and structures</w:t>
        </w:r>
        <w:r w:rsidR="006F5437">
          <w:rPr>
            <w:noProof/>
            <w:webHidden/>
          </w:rPr>
          <w:tab/>
        </w:r>
        <w:r w:rsidR="006F5437">
          <w:rPr>
            <w:noProof/>
            <w:webHidden/>
          </w:rPr>
          <w:fldChar w:fldCharType="begin"/>
        </w:r>
        <w:r w:rsidR="006F5437">
          <w:rPr>
            <w:noProof/>
            <w:webHidden/>
          </w:rPr>
          <w:instrText xml:space="preserve"> PAGEREF _Toc69899765 \h </w:instrText>
        </w:r>
        <w:r w:rsidR="006F5437">
          <w:rPr>
            <w:noProof/>
            <w:webHidden/>
          </w:rPr>
        </w:r>
        <w:r w:rsidR="006F5437">
          <w:rPr>
            <w:noProof/>
            <w:webHidden/>
          </w:rPr>
          <w:fldChar w:fldCharType="separate"/>
        </w:r>
        <w:r w:rsidR="006F5437">
          <w:rPr>
            <w:noProof/>
            <w:webHidden/>
          </w:rPr>
          <w:t>29</w:t>
        </w:r>
        <w:r w:rsidR="006F5437">
          <w:rPr>
            <w:noProof/>
            <w:webHidden/>
          </w:rPr>
          <w:fldChar w:fldCharType="end"/>
        </w:r>
      </w:hyperlink>
    </w:p>
    <w:p w14:paraId="268D79AB" w14:textId="0EF1A46A" w:rsidR="006F5437" w:rsidRDefault="005E5572">
      <w:pPr>
        <w:pStyle w:val="TOC3"/>
        <w:tabs>
          <w:tab w:val="left" w:pos="1100"/>
          <w:tab w:val="right" w:leader="dot" w:pos="9060"/>
        </w:tabs>
        <w:rPr>
          <w:rFonts w:eastAsiaTheme="minorEastAsia" w:cstheme="minorBidi"/>
          <w:i w:val="0"/>
          <w:iCs w:val="0"/>
          <w:noProof/>
          <w:sz w:val="22"/>
          <w:szCs w:val="22"/>
          <w:lang w:eastAsia="en-GB" w:bidi="ar-SA"/>
        </w:rPr>
      </w:pPr>
      <w:hyperlink w:anchor="_Toc69899766" w:history="1">
        <w:r w:rsidR="006F5437" w:rsidRPr="00DA72EE">
          <w:rPr>
            <w:rStyle w:val="Hyperlink"/>
            <w:noProof/>
          </w:rPr>
          <w:t>4.2.2</w:t>
        </w:r>
        <w:r w:rsidR="006F5437">
          <w:rPr>
            <w:rFonts w:eastAsiaTheme="minorEastAsia" w:cstheme="minorBidi"/>
            <w:i w:val="0"/>
            <w:iCs w:val="0"/>
            <w:noProof/>
            <w:sz w:val="22"/>
            <w:szCs w:val="22"/>
            <w:lang w:eastAsia="en-GB" w:bidi="ar-SA"/>
          </w:rPr>
          <w:tab/>
        </w:r>
        <w:r w:rsidR="006F5437" w:rsidRPr="00DA72EE">
          <w:rPr>
            <w:rStyle w:val="Hyperlink"/>
            <w:noProof/>
          </w:rPr>
          <w:t>Structural identification</w:t>
        </w:r>
        <w:r w:rsidR="006F5437">
          <w:rPr>
            <w:noProof/>
            <w:webHidden/>
          </w:rPr>
          <w:tab/>
        </w:r>
        <w:r w:rsidR="006F5437">
          <w:rPr>
            <w:noProof/>
            <w:webHidden/>
          </w:rPr>
          <w:fldChar w:fldCharType="begin"/>
        </w:r>
        <w:r w:rsidR="006F5437">
          <w:rPr>
            <w:noProof/>
            <w:webHidden/>
          </w:rPr>
          <w:instrText xml:space="preserve"> PAGEREF _Toc69899766 \h </w:instrText>
        </w:r>
        <w:r w:rsidR="006F5437">
          <w:rPr>
            <w:noProof/>
            <w:webHidden/>
          </w:rPr>
        </w:r>
        <w:r w:rsidR="006F5437">
          <w:rPr>
            <w:noProof/>
            <w:webHidden/>
          </w:rPr>
          <w:fldChar w:fldCharType="separate"/>
        </w:r>
        <w:r w:rsidR="006F5437">
          <w:rPr>
            <w:noProof/>
            <w:webHidden/>
          </w:rPr>
          <w:t>30</w:t>
        </w:r>
        <w:r w:rsidR="006F5437">
          <w:rPr>
            <w:noProof/>
            <w:webHidden/>
          </w:rPr>
          <w:fldChar w:fldCharType="end"/>
        </w:r>
      </w:hyperlink>
    </w:p>
    <w:p w14:paraId="1C816C7D" w14:textId="40316262" w:rsidR="006F5437" w:rsidRDefault="005E5572">
      <w:pPr>
        <w:pStyle w:val="TOC2"/>
        <w:tabs>
          <w:tab w:val="left" w:pos="880"/>
          <w:tab w:val="right" w:leader="dot" w:pos="9060"/>
        </w:tabs>
        <w:rPr>
          <w:rFonts w:eastAsiaTheme="minorEastAsia" w:cstheme="minorBidi"/>
          <w:smallCaps w:val="0"/>
          <w:noProof/>
          <w:sz w:val="22"/>
          <w:szCs w:val="22"/>
          <w:lang w:eastAsia="en-GB" w:bidi="ar-SA"/>
        </w:rPr>
      </w:pPr>
      <w:hyperlink w:anchor="_Toc69899767" w:history="1">
        <w:r w:rsidR="006F5437" w:rsidRPr="00DA72EE">
          <w:rPr>
            <w:rStyle w:val="Hyperlink"/>
            <w:noProof/>
          </w:rPr>
          <w:t>4.3</w:t>
        </w:r>
        <w:r w:rsidR="006F5437">
          <w:rPr>
            <w:rFonts w:eastAsiaTheme="minorEastAsia" w:cstheme="minorBidi"/>
            <w:smallCaps w:val="0"/>
            <w:noProof/>
            <w:sz w:val="22"/>
            <w:szCs w:val="22"/>
            <w:lang w:eastAsia="en-GB" w:bidi="ar-SA"/>
          </w:rPr>
          <w:tab/>
        </w:r>
        <w:r w:rsidR="006F5437" w:rsidRPr="00DA72EE">
          <w:rPr>
            <w:rStyle w:val="Hyperlink"/>
            <w:noProof/>
          </w:rPr>
          <w:t>Manufacturing processes</w:t>
        </w:r>
        <w:r w:rsidR="006F5437">
          <w:rPr>
            <w:noProof/>
            <w:webHidden/>
          </w:rPr>
          <w:tab/>
        </w:r>
        <w:r w:rsidR="006F5437">
          <w:rPr>
            <w:noProof/>
            <w:webHidden/>
          </w:rPr>
          <w:fldChar w:fldCharType="begin"/>
        </w:r>
        <w:r w:rsidR="006F5437">
          <w:rPr>
            <w:noProof/>
            <w:webHidden/>
          </w:rPr>
          <w:instrText xml:space="preserve"> PAGEREF _Toc69899767 \h </w:instrText>
        </w:r>
        <w:r w:rsidR="006F5437">
          <w:rPr>
            <w:noProof/>
            <w:webHidden/>
          </w:rPr>
        </w:r>
        <w:r w:rsidR="006F5437">
          <w:rPr>
            <w:noProof/>
            <w:webHidden/>
          </w:rPr>
          <w:fldChar w:fldCharType="separate"/>
        </w:r>
        <w:r w:rsidR="006F5437">
          <w:rPr>
            <w:noProof/>
            <w:webHidden/>
          </w:rPr>
          <w:t>30</w:t>
        </w:r>
        <w:r w:rsidR="006F5437">
          <w:rPr>
            <w:noProof/>
            <w:webHidden/>
          </w:rPr>
          <w:fldChar w:fldCharType="end"/>
        </w:r>
      </w:hyperlink>
    </w:p>
    <w:p w14:paraId="2C2BC94F" w14:textId="3C0D92A1" w:rsidR="006F5437" w:rsidRDefault="005E5572">
      <w:pPr>
        <w:pStyle w:val="TOC3"/>
        <w:tabs>
          <w:tab w:val="left" w:pos="1100"/>
          <w:tab w:val="right" w:leader="dot" w:pos="9060"/>
        </w:tabs>
        <w:rPr>
          <w:rFonts w:eastAsiaTheme="minorEastAsia" w:cstheme="minorBidi"/>
          <w:i w:val="0"/>
          <w:iCs w:val="0"/>
          <w:noProof/>
          <w:sz w:val="22"/>
          <w:szCs w:val="22"/>
          <w:lang w:eastAsia="en-GB" w:bidi="ar-SA"/>
        </w:rPr>
      </w:pPr>
      <w:hyperlink w:anchor="_Toc69899768" w:history="1">
        <w:r w:rsidR="006F5437" w:rsidRPr="00DA72EE">
          <w:rPr>
            <w:rStyle w:val="Hyperlink"/>
            <w:noProof/>
          </w:rPr>
          <w:t>4.3.1</w:t>
        </w:r>
        <w:r w:rsidR="006F5437">
          <w:rPr>
            <w:rFonts w:eastAsiaTheme="minorEastAsia" w:cstheme="minorBidi"/>
            <w:i w:val="0"/>
            <w:iCs w:val="0"/>
            <w:noProof/>
            <w:sz w:val="22"/>
            <w:szCs w:val="22"/>
            <w:lang w:eastAsia="en-GB" w:bidi="ar-SA"/>
          </w:rPr>
          <w:tab/>
        </w:r>
        <w:r w:rsidR="006F5437" w:rsidRPr="00DA72EE">
          <w:rPr>
            <w:rStyle w:val="Hyperlink"/>
            <w:noProof/>
          </w:rPr>
          <w:t>Production of nicotinamide riboside chloride</w:t>
        </w:r>
        <w:r w:rsidR="006F5437">
          <w:rPr>
            <w:noProof/>
            <w:webHidden/>
          </w:rPr>
          <w:tab/>
        </w:r>
        <w:r w:rsidR="006F5437">
          <w:rPr>
            <w:noProof/>
            <w:webHidden/>
          </w:rPr>
          <w:fldChar w:fldCharType="begin"/>
        </w:r>
        <w:r w:rsidR="006F5437">
          <w:rPr>
            <w:noProof/>
            <w:webHidden/>
          </w:rPr>
          <w:instrText xml:space="preserve"> PAGEREF _Toc69899768 \h </w:instrText>
        </w:r>
        <w:r w:rsidR="006F5437">
          <w:rPr>
            <w:noProof/>
            <w:webHidden/>
          </w:rPr>
        </w:r>
        <w:r w:rsidR="006F5437">
          <w:rPr>
            <w:noProof/>
            <w:webHidden/>
          </w:rPr>
          <w:fldChar w:fldCharType="separate"/>
        </w:r>
        <w:r w:rsidR="006F5437">
          <w:rPr>
            <w:noProof/>
            <w:webHidden/>
          </w:rPr>
          <w:t>30</w:t>
        </w:r>
        <w:r w:rsidR="006F5437">
          <w:rPr>
            <w:noProof/>
            <w:webHidden/>
          </w:rPr>
          <w:fldChar w:fldCharType="end"/>
        </w:r>
      </w:hyperlink>
    </w:p>
    <w:p w14:paraId="26D6A3A2" w14:textId="708681E1" w:rsidR="006F5437" w:rsidRDefault="005E5572">
      <w:pPr>
        <w:pStyle w:val="TOC2"/>
        <w:tabs>
          <w:tab w:val="left" w:pos="880"/>
          <w:tab w:val="right" w:leader="dot" w:pos="9060"/>
        </w:tabs>
        <w:rPr>
          <w:rFonts w:eastAsiaTheme="minorEastAsia" w:cstheme="minorBidi"/>
          <w:smallCaps w:val="0"/>
          <w:noProof/>
          <w:sz w:val="22"/>
          <w:szCs w:val="22"/>
          <w:lang w:eastAsia="en-GB" w:bidi="ar-SA"/>
        </w:rPr>
      </w:pPr>
      <w:hyperlink w:anchor="_Toc69899769" w:history="1">
        <w:r w:rsidR="006F5437" w:rsidRPr="00DA72EE">
          <w:rPr>
            <w:rStyle w:val="Hyperlink"/>
            <w:noProof/>
          </w:rPr>
          <w:t>4.4</w:t>
        </w:r>
        <w:r w:rsidR="006F5437">
          <w:rPr>
            <w:rFonts w:eastAsiaTheme="minorEastAsia" w:cstheme="minorBidi"/>
            <w:smallCaps w:val="0"/>
            <w:noProof/>
            <w:sz w:val="22"/>
            <w:szCs w:val="22"/>
            <w:lang w:eastAsia="en-GB" w:bidi="ar-SA"/>
          </w:rPr>
          <w:tab/>
        </w:r>
        <w:r w:rsidR="006F5437" w:rsidRPr="00DA72EE">
          <w:rPr>
            <w:rStyle w:val="Hyperlink"/>
            <w:noProof/>
          </w:rPr>
          <w:t>Product specifications</w:t>
        </w:r>
        <w:r w:rsidR="006F5437">
          <w:rPr>
            <w:noProof/>
            <w:webHidden/>
          </w:rPr>
          <w:tab/>
        </w:r>
        <w:r w:rsidR="006F5437">
          <w:rPr>
            <w:noProof/>
            <w:webHidden/>
          </w:rPr>
          <w:fldChar w:fldCharType="begin"/>
        </w:r>
        <w:r w:rsidR="006F5437">
          <w:rPr>
            <w:noProof/>
            <w:webHidden/>
          </w:rPr>
          <w:instrText xml:space="preserve"> PAGEREF _Toc69899769 \h </w:instrText>
        </w:r>
        <w:r w:rsidR="006F5437">
          <w:rPr>
            <w:noProof/>
            <w:webHidden/>
          </w:rPr>
        </w:r>
        <w:r w:rsidR="006F5437">
          <w:rPr>
            <w:noProof/>
            <w:webHidden/>
          </w:rPr>
          <w:fldChar w:fldCharType="separate"/>
        </w:r>
        <w:r w:rsidR="006F5437">
          <w:rPr>
            <w:noProof/>
            <w:webHidden/>
          </w:rPr>
          <w:t>31</w:t>
        </w:r>
        <w:r w:rsidR="006F5437">
          <w:rPr>
            <w:noProof/>
            <w:webHidden/>
          </w:rPr>
          <w:fldChar w:fldCharType="end"/>
        </w:r>
      </w:hyperlink>
    </w:p>
    <w:p w14:paraId="13503FB7" w14:textId="11CD3824" w:rsidR="006F5437" w:rsidRDefault="005E5572">
      <w:pPr>
        <w:pStyle w:val="TOC2"/>
        <w:tabs>
          <w:tab w:val="left" w:pos="880"/>
          <w:tab w:val="right" w:leader="dot" w:pos="9060"/>
        </w:tabs>
        <w:rPr>
          <w:rFonts w:eastAsiaTheme="minorEastAsia" w:cstheme="minorBidi"/>
          <w:smallCaps w:val="0"/>
          <w:noProof/>
          <w:sz w:val="22"/>
          <w:szCs w:val="22"/>
          <w:lang w:eastAsia="en-GB" w:bidi="ar-SA"/>
        </w:rPr>
      </w:pPr>
      <w:hyperlink w:anchor="_Toc69899770" w:history="1">
        <w:r w:rsidR="006F5437" w:rsidRPr="00DA72EE">
          <w:rPr>
            <w:rStyle w:val="Hyperlink"/>
            <w:noProof/>
          </w:rPr>
          <w:t>4.5</w:t>
        </w:r>
        <w:r w:rsidR="006F5437">
          <w:rPr>
            <w:rFonts w:eastAsiaTheme="minorEastAsia" w:cstheme="minorBidi"/>
            <w:smallCaps w:val="0"/>
            <w:noProof/>
            <w:sz w:val="22"/>
            <w:szCs w:val="22"/>
            <w:lang w:eastAsia="en-GB" w:bidi="ar-SA"/>
          </w:rPr>
          <w:tab/>
        </w:r>
        <w:r w:rsidR="006F5437" w:rsidRPr="00DA72EE">
          <w:rPr>
            <w:rStyle w:val="Hyperlink"/>
            <w:noProof/>
          </w:rPr>
          <w:t>Analytical methods for detection</w:t>
        </w:r>
        <w:r w:rsidR="006F5437">
          <w:rPr>
            <w:noProof/>
            <w:webHidden/>
          </w:rPr>
          <w:tab/>
        </w:r>
        <w:r w:rsidR="006F5437">
          <w:rPr>
            <w:noProof/>
            <w:webHidden/>
          </w:rPr>
          <w:fldChar w:fldCharType="begin"/>
        </w:r>
        <w:r w:rsidR="006F5437">
          <w:rPr>
            <w:noProof/>
            <w:webHidden/>
          </w:rPr>
          <w:instrText xml:space="preserve"> PAGEREF _Toc69899770 \h </w:instrText>
        </w:r>
        <w:r w:rsidR="006F5437">
          <w:rPr>
            <w:noProof/>
            <w:webHidden/>
          </w:rPr>
        </w:r>
        <w:r w:rsidR="006F5437">
          <w:rPr>
            <w:noProof/>
            <w:webHidden/>
          </w:rPr>
          <w:fldChar w:fldCharType="separate"/>
        </w:r>
        <w:r w:rsidR="006F5437">
          <w:rPr>
            <w:noProof/>
            <w:webHidden/>
          </w:rPr>
          <w:t>33</w:t>
        </w:r>
        <w:r w:rsidR="006F5437">
          <w:rPr>
            <w:noProof/>
            <w:webHidden/>
          </w:rPr>
          <w:fldChar w:fldCharType="end"/>
        </w:r>
      </w:hyperlink>
    </w:p>
    <w:p w14:paraId="08A91C5C" w14:textId="3F173575" w:rsidR="006F5437" w:rsidRDefault="005E5572">
      <w:pPr>
        <w:pStyle w:val="TOC2"/>
        <w:tabs>
          <w:tab w:val="left" w:pos="880"/>
          <w:tab w:val="right" w:leader="dot" w:pos="9060"/>
        </w:tabs>
        <w:rPr>
          <w:rFonts w:eastAsiaTheme="minorEastAsia" w:cstheme="minorBidi"/>
          <w:smallCaps w:val="0"/>
          <w:noProof/>
          <w:sz w:val="22"/>
          <w:szCs w:val="22"/>
          <w:lang w:eastAsia="en-GB" w:bidi="ar-SA"/>
        </w:rPr>
      </w:pPr>
      <w:hyperlink w:anchor="_Toc69899771" w:history="1">
        <w:r w:rsidR="006F5437" w:rsidRPr="00DA72EE">
          <w:rPr>
            <w:rStyle w:val="Hyperlink"/>
            <w:noProof/>
          </w:rPr>
          <w:t>4.6</w:t>
        </w:r>
        <w:r w:rsidR="006F5437">
          <w:rPr>
            <w:rFonts w:eastAsiaTheme="minorEastAsia" w:cstheme="minorBidi"/>
            <w:smallCaps w:val="0"/>
            <w:noProof/>
            <w:sz w:val="22"/>
            <w:szCs w:val="22"/>
            <w:lang w:eastAsia="en-GB" w:bidi="ar-SA"/>
          </w:rPr>
          <w:tab/>
        </w:r>
        <w:r w:rsidR="006F5437" w:rsidRPr="00DA72EE">
          <w:rPr>
            <w:rStyle w:val="Hyperlink"/>
            <w:noProof/>
          </w:rPr>
          <w:t>Stability in food</w:t>
        </w:r>
        <w:r w:rsidR="006F5437">
          <w:rPr>
            <w:noProof/>
            <w:webHidden/>
          </w:rPr>
          <w:tab/>
        </w:r>
        <w:r w:rsidR="006F5437">
          <w:rPr>
            <w:noProof/>
            <w:webHidden/>
          </w:rPr>
          <w:fldChar w:fldCharType="begin"/>
        </w:r>
        <w:r w:rsidR="006F5437">
          <w:rPr>
            <w:noProof/>
            <w:webHidden/>
          </w:rPr>
          <w:instrText xml:space="preserve"> PAGEREF _Toc69899771 \h </w:instrText>
        </w:r>
        <w:r w:rsidR="006F5437">
          <w:rPr>
            <w:noProof/>
            <w:webHidden/>
          </w:rPr>
        </w:r>
        <w:r w:rsidR="006F5437">
          <w:rPr>
            <w:noProof/>
            <w:webHidden/>
          </w:rPr>
          <w:fldChar w:fldCharType="separate"/>
        </w:r>
        <w:r w:rsidR="006F5437">
          <w:rPr>
            <w:noProof/>
            <w:webHidden/>
          </w:rPr>
          <w:t>33</w:t>
        </w:r>
        <w:r w:rsidR="006F5437">
          <w:rPr>
            <w:noProof/>
            <w:webHidden/>
          </w:rPr>
          <w:fldChar w:fldCharType="end"/>
        </w:r>
      </w:hyperlink>
    </w:p>
    <w:p w14:paraId="5AB1B6D5" w14:textId="34CACC0F" w:rsidR="006F5437" w:rsidRDefault="005E5572">
      <w:pPr>
        <w:pStyle w:val="TOC2"/>
        <w:tabs>
          <w:tab w:val="left" w:pos="880"/>
          <w:tab w:val="right" w:leader="dot" w:pos="9060"/>
        </w:tabs>
        <w:rPr>
          <w:rFonts w:eastAsiaTheme="minorEastAsia" w:cstheme="minorBidi"/>
          <w:smallCaps w:val="0"/>
          <w:noProof/>
          <w:sz w:val="22"/>
          <w:szCs w:val="22"/>
          <w:lang w:eastAsia="en-GB" w:bidi="ar-SA"/>
        </w:rPr>
      </w:pPr>
      <w:hyperlink w:anchor="_Toc69899772" w:history="1">
        <w:r w:rsidR="006F5437" w:rsidRPr="00DA72EE">
          <w:rPr>
            <w:rStyle w:val="Hyperlink"/>
            <w:noProof/>
          </w:rPr>
          <w:t>4.7</w:t>
        </w:r>
        <w:r w:rsidR="006F5437">
          <w:rPr>
            <w:rFonts w:eastAsiaTheme="minorEastAsia" w:cstheme="minorBidi"/>
            <w:smallCaps w:val="0"/>
            <w:noProof/>
            <w:sz w:val="22"/>
            <w:szCs w:val="22"/>
            <w:lang w:eastAsia="en-GB" w:bidi="ar-SA"/>
          </w:rPr>
          <w:tab/>
        </w:r>
        <w:r w:rsidR="006F5437" w:rsidRPr="00DA72EE">
          <w:rPr>
            <w:rStyle w:val="Hyperlink"/>
            <w:noProof/>
          </w:rPr>
          <w:t>Food technology conclusion</w:t>
        </w:r>
        <w:r w:rsidR="006F5437">
          <w:rPr>
            <w:noProof/>
            <w:webHidden/>
          </w:rPr>
          <w:tab/>
        </w:r>
        <w:r w:rsidR="006F5437">
          <w:rPr>
            <w:noProof/>
            <w:webHidden/>
          </w:rPr>
          <w:fldChar w:fldCharType="begin"/>
        </w:r>
        <w:r w:rsidR="006F5437">
          <w:rPr>
            <w:noProof/>
            <w:webHidden/>
          </w:rPr>
          <w:instrText xml:space="preserve"> PAGEREF _Toc69899772 \h </w:instrText>
        </w:r>
        <w:r w:rsidR="006F5437">
          <w:rPr>
            <w:noProof/>
            <w:webHidden/>
          </w:rPr>
        </w:r>
        <w:r w:rsidR="006F5437">
          <w:rPr>
            <w:noProof/>
            <w:webHidden/>
          </w:rPr>
          <w:fldChar w:fldCharType="separate"/>
        </w:r>
        <w:r w:rsidR="006F5437">
          <w:rPr>
            <w:noProof/>
            <w:webHidden/>
          </w:rPr>
          <w:t>34</w:t>
        </w:r>
        <w:r w:rsidR="006F5437">
          <w:rPr>
            <w:noProof/>
            <w:webHidden/>
          </w:rPr>
          <w:fldChar w:fldCharType="end"/>
        </w:r>
      </w:hyperlink>
    </w:p>
    <w:p w14:paraId="6EBFF92B" w14:textId="163558CC" w:rsidR="006F5437" w:rsidRDefault="005E5572">
      <w:pPr>
        <w:pStyle w:val="TOC1"/>
        <w:tabs>
          <w:tab w:val="left" w:pos="440"/>
          <w:tab w:val="right" w:leader="dot" w:pos="9060"/>
        </w:tabs>
        <w:rPr>
          <w:rFonts w:eastAsiaTheme="minorEastAsia" w:cstheme="minorBidi"/>
          <w:b w:val="0"/>
          <w:bCs w:val="0"/>
          <w:caps w:val="0"/>
          <w:noProof/>
          <w:sz w:val="22"/>
          <w:szCs w:val="22"/>
          <w:lang w:eastAsia="en-GB" w:bidi="ar-SA"/>
        </w:rPr>
      </w:pPr>
      <w:hyperlink w:anchor="_Toc69899773" w:history="1">
        <w:r w:rsidR="006F5437" w:rsidRPr="00DA72EE">
          <w:rPr>
            <w:rStyle w:val="Hyperlink"/>
            <w:noProof/>
          </w:rPr>
          <w:t>5</w:t>
        </w:r>
        <w:r w:rsidR="006F5437">
          <w:rPr>
            <w:rFonts w:eastAsiaTheme="minorEastAsia" w:cstheme="minorBidi"/>
            <w:b w:val="0"/>
            <w:bCs w:val="0"/>
            <w:caps w:val="0"/>
            <w:noProof/>
            <w:sz w:val="22"/>
            <w:szCs w:val="22"/>
            <w:lang w:eastAsia="en-GB" w:bidi="ar-SA"/>
          </w:rPr>
          <w:tab/>
        </w:r>
        <w:r w:rsidR="006F5437" w:rsidRPr="00DA72EE">
          <w:rPr>
            <w:rStyle w:val="Hyperlink"/>
            <w:noProof/>
          </w:rPr>
          <w:t>Dietary intake assessment</w:t>
        </w:r>
        <w:r w:rsidR="006F5437">
          <w:rPr>
            <w:noProof/>
            <w:webHidden/>
          </w:rPr>
          <w:tab/>
        </w:r>
        <w:r w:rsidR="006F5437">
          <w:rPr>
            <w:noProof/>
            <w:webHidden/>
          </w:rPr>
          <w:fldChar w:fldCharType="begin"/>
        </w:r>
        <w:r w:rsidR="006F5437">
          <w:rPr>
            <w:noProof/>
            <w:webHidden/>
          </w:rPr>
          <w:instrText xml:space="preserve"> PAGEREF _Toc69899773 \h </w:instrText>
        </w:r>
        <w:r w:rsidR="006F5437">
          <w:rPr>
            <w:noProof/>
            <w:webHidden/>
          </w:rPr>
        </w:r>
        <w:r w:rsidR="006F5437">
          <w:rPr>
            <w:noProof/>
            <w:webHidden/>
          </w:rPr>
          <w:fldChar w:fldCharType="separate"/>
        </w:r>
        <w:r w:rsidR="006F5437">
          <w:rPr>
            <w:noProof/>
            <w:webHidden/>
          </w:rPr>
          <w:t>35</w:t>
        </w:r>
        <w:r w:rsidR="006F5437">
          <w:rPr>
            <w:noProof/>
            <w:webHidden/>
          </w:rPr>
          <w:fldChar w:fldCharType="end"/>
        </w:r>
      </w:hyperlink>
    </w:p>
    <w:p w14:paraId="55C6E71F" w14:textId="3069B056" w:rsidR="006F5437" w:rsidRDefault="005E5572">
      <w:pPr>
        <w:pStyle w:val="TOC1"/>
        <w:tabs>
          <w:tab w:val="left" w:pos="440"/>
          <w:tab w:val="right" w:leader="dot" w:pos="9060"/>
        </w:tabs>
        <w:rPr>
          <w:rFonts w:eastAsiaTheme="minorEastAsia" w:cstheme="minorBidi"/>
          <w:b w:val="0"/>
          <w:bCs w:val="0"/>
          <w:caps w:val="0"/>
          <w:noProof/>
          <w:sz w:val="22"/>
          <w:szCs w:val="22"/>
          <w:lang w:eastAsia="en-GB" w:bidi="ar-SA"/>
        </w:rPr>
      </w:pPr>
      <w:hyperlink w:anchor="_Toc69899774" w:history="1">
        <w:r w:rsidR="006F5437" w:rsidRPr="00DA72EE">
          <w:rPr>
            <w:rStyle w:val="Hyperlink"/>
            <w:noProof/>
          </w:rPr>
          <w:t>6</w:t>
        </w:r>
        <w:r w:rsidR="006F5437">
          <w:rPr>
            <w:rFonts w:eastAsiaTheme="minorEastAsia" w:cstheme="minorBidi"/>
            <w:b w:val="0"/>
            <w:bCs w:val="0"/>
            <w:caps w:val="0"/>
            <w:noProof/>
            <w:sz w:val="22"/>
            <w:szCs w:val="22"/>
            <w:lang w:eastAsia="en-GB" w:bidi="ar-SA"/>
          </w:rPr>
          <w:tab/>
        </w:r>
        <w:r w:rsidR="006F5437" w:rsidRPr="00DA72EE">
          <w:rPr>
            <w:rStyle w:val="Hyperlink"/>
            <w:noProof/>
          </w:rPr>
          <w:t>Risk Assessment Conclusions</w:t>
        </w:r>
        <w:r w:rsidR="006F5437">
          <w:rPr>
            <w:noProof/>
            <w:webHidden/>
          </w:rPr>
          <w:tab/>
        </w:r>
        <w:r w:rsidR="006F5437">
          <w:rPr>
            <w:noProof/>
            <w:webHidden/>
          </w:rPr>
          <w:fldChar w:fldCharType="begin"/>
        </w:r>
        <w:r w:rsidR="006F5437">
          <w:rPr>
            <w:noProof/>
            <w:webHidden/>
          </w:rPr>
          <w:instrText xml:space="preserve"> PAGEREF _Toc69899774 \h </w:instrText>
        </w:r>
        <w:r w:rsidR="006F5437">
          <w:rPr>
            <w:noProof/>
            <w:webHidden/>
          </w:rPr>
        </w:r>
        <w:r w:rsidR="006F5437">
          <w:rPr>
            <w:noProof/>
            <w:webHidden/>
          </w:rPr>
          <w:fldChar w:fldCharType="separate"/>
        </w:r>
        <w:r w:rsidR="006F5437">
          <w:rPr>
            <w:noProof/>
            <w:webHidden/>
          </w:rPr>
          <w:t>36</w:t>
        </w:r>
        <w:r w:rsidR="006F5437">
          <w:rPr>
            <w:noProof/>
            <w:webHidden/>
          </w:rPr>
          <w:fldChar w:fldCharType="end"/>
        </w:r>
      </w:hyperlink>
    </w:p>
    <w:p w14:paraId="4A9D7DE2" w14:textId="4AEE4784" w:rsidR="006F5437" w:rsidRDefault="005E5572">
      <w:pPr>
        <w:pStyle w:val="TOC1"/>
        <w:tabs>
          <w:tab w:val="left" w:pos="440"/>
          <w:tab w:val="right" w:leader="dot" w:pos="9060"/>
        </w:tabs>
        <w:rPr>
          <w:rFonts w:eastAsiaTheme="minorEastAsia" w:cstheme="minorBidi"/>
          <w:b w:val="0"/>
          <w:bCs w:val="0"/>
          <w:caps w:val="0"/>
          <w:noProof/>
          <w:sz w:val="22"/>
          <w:szCs w:val="22"/>
          <w:lang w:eastAsia="en-GB" w:bidi="ar-SA"/>
        </w:rPr>
      </w:pPr>
      <w:hyperlink w:anchor="_Toc69899775" w:history="1">
        <w:r w:rsidR="006F5437" w:rsidRPr="00DA72EE">
          <w:rPr>
            <w:rStyle w:val="Hyperlink"/>
            <w:noProof/>
          </w:rPr>
          <w:t>7</w:t>
        </w:r>
        <w:r w:rsidR="006F5437">
          <w:rPr>
            <w:rFonts w:eastAsiaTheme="minorEastAsia" w:cstheme="minorBidi"/>
            <w:b w:val="0"/>
            <w:bCs w:val="0"/>
            <w:caps w:val="0"/>
            <w:noProof/>
            <w:sz w:val="22"/>
            <w:szCs w:val="22"/>
            <w:lang w:eastAsia="en-GB" w:bidi="ar-SA"/>
          </w:rPr>
          <w:tab/>
        </w:r>
        <w:r w:rsidR="006F5437" w:rsidRPr="00DA72EE">
          <w:rPr>
            <w:rStyle w:val="Hyperlink"/>
            <w:noProof/>
          </w:rPr>
          <w:t>References</w:t>
        </w:r>
        <w:r w:rsidR="006F5437">
          <w:rPr>
            <w:noProof/>
            <w:webHidden/>
          </w:rPr>
          <w:tab/>
        </w:r>
        <w:r w:rsidR="006F5437">
          <w:rPr>
            <w:noProof/>
            <w:webHidden/>
          </w:rPr>
          <w:fldChar w:fldCharType="begin"/>
        </w:r>
        <w:r w:rsidR="006F5437">
          <w:rPr>
            <w:noProof/>
            <w:webHidden/>
          </w:rPr>
          <w:instrText xml:space="preserve"> PAGEREF _Toc69899775 \h </w:instrText>
        </w:r>
        <w:r w:rsidR="006F5437">
          <w:rPr>
            <w:noProof/>
            <w:webHidden/>
          </w:rPr>
        </w:r>
        <w:r w:rsidR="006F5437">
          <w:rPr>
            <w:noProof/>
            <w:webHidden/>
          </w:rPr>
          <w:fldChar w:fldCharType="separate"/>
        </w:r>
        <w:r w:rsidR="006F5437">
          <w:rPr>
            <w:noProof/>
            <w:webHidden/>
          </w:rPr>
          <w:t>38</w:t>
        </w:r>
        <w:r w:rsidR="006F5437">
          <w:rPr>
            <w:noProof/>
            <w:webHidden/>
          </w:rPr>
          <w:fldChar w:fldCharType="end"/>
        </w:r>
      </w:hyperlink>
    </w:p>
    <w:p w14:paraId="16F316FA" w14:textId="2EF0CA6D" w:rsidR="006F5437" w:rsidRDefault="005E5572">
      <w:pPr>
        <w:pStyle w:val="TOC1"/>
        <w:tabs>
          <w:tab w:val="right" w:leader="dot" w:pos="9060"/>
        </w:tabs>
        <w:rPr>
          <w:rFonts w:eastAsiaTheme="minorEastAsia" w:cstheme="minorBidi"/>
          <w:b w:val="0"/>
          <w:bCs w:val="0"/>
          <w:caps w:val="0"/>
          <w:noProof/>
          <w:sz w:val="22"/>
          <w:szCs w:val="22"/>
          <w:lang w:eastAsia="en-GB" w:bidi="ar-SA"/>
        </w:rPr>
      </w:pPr>
      <w:hyperlink w:anchor="_Toc69899776" w:history="1">
        <w:r w:rsidR="006F5437" w:rsidRPr="00DA72EE">
          <w:rPr>
            <w:rStyle w:val="Hyperlink"/>
            <w:noProof/>
          </w:rPr>
          <w:t>Appendix 1: Usual daily intake of niacin equivalent from foods and proportion of niacin equivalent from food groups for Australia and New Zealand</w:t>
        </w:r>
        <w:r w:rsidR="006F5437">
          <w:rPr>
            <w:noProof/>
            <w:webHidden/>
          </w:rPr>
          <w:tab/>
        </w:r>
        <w:r w:rsidR="006F5437">
          <w:rPr>
            <w:noProof/>
            <w:webHidden/>
          </w:rPr>
          <w:fldChar w:fldCharType="begin"/>
        </w:r>
        <w:r w:rsidR="006F5437">
          <w:rPr>
            <w:noProof/>
            <w:webHidden/>
          </w:rPr>
          <w:instrText xml:space="preserve"> PAGEREF _Toc69899776 \h </w:instrText>
        </w:r>
        <w:r w:rsidR="006F5437">
          <w:rPr>
            <w:noProof/>
            <w:webHidden/>
          </w:rPr>
        </w:r>
        <w:r w:rsidR="006F5437">
          <w:rPr>
            <w:noProof/>
            <w:webHidden/>
          </w:rPr>
          <w:fldChar w:fldCharType="separate"/>
        </w:r>
        <w:r w:rsidR="006F5437">
          <w:rPr>
            <w:noProof/>
            <w:webHidden/>
          </w:rPr>
          <w:t>43</w:t>
        </w:r>
        <w:r w:rsidR="006F5437">
          <w:rPr>
            <w:noProof/>
            <w:webHidden/>
          </w:rPr>
          <w:fldChar w:fldCharType="end"/>
        </w:r>
      </w:hyperlink>
    </w:p>
    <w:p w14:paraId="361D6B7F" w14:textId="614D1FE9" w:rsidR="00E84BE4" w:rsidRDefault="00326D85" w:rsidP="004849CB">
      <w:pPr>
        <w:pStyle w:val="Heading1"/>
        <w:spacing w:before="0"/>
        <w:ind w:left="0" w:firstLine="0"/>
      </w:pPr>
      <w:r>
        <w:fldChar w:fldCharType="end"/>
      </w:r>
      <w:r w:rsidR="00562917" w:rsidRPr="00E203C2">
        <w:br w:type="page"/>
      </w:r>
      <w:bookmarkStart w:id="19" w:name="_Toc66443222"/>
      <w:bookmarkStart w:id="20" w:name="_Toc66436778"/>
      <w:bookmarkStart w:id="21" w:name="_Toc66458130"/>
      <w:bookmarkStart w:id="22" w:name="_Toc66451404"/>
      <w:bookmarkStart w:id="23" w:name="_Toc66458797"/>
      <w:bookmarkStart w:id="24" w:name="_Toc66458930"/>
      <w:bookmarkStart w:id="25" w:name="_Toc66461625"/>
      <w:bookmarkStart w:id="26" w:name="_Toc69899732"/>
      <w:bookmarkStart w:id="27" w:name="_Toc65841207"/>
      <w:r w:rsidR="00E84BE4">
        <w:lastRenderedPageBreak/>
        <w:t>Abbreviations relevant to NAD</w:t>
      </w:r>
      <w:r w:rsidR="00E84BE4" w:rsidRPr="001D6E39">
        <w:rPr>
          <w:vertAlign w:val="superscript"/>
        </w:rPr>
        <w:t>+</w:t>
      </w:r>
      <w:r w:rsidR="00E84BE4">
        <w:t xml:space="preserve"> metabol</w:t>
      </w:r>
      <w:r w:rsidR="005162DB">
        <w:t>ism</w:t>
      </w:r>
      <w:bookmarkEnd w:id="19"/>
      <w:bookmarkEnd w:id="20"/>
      <w:bookmarkEnd w:id="21"/>
      <w:bookmarkEnd w:id="22"/>
      <w:bookmarkEnd w:id="23"/>
      <w:bookmarkEnd w:id="24"/>
      <w:bookmarkEnd w:id="25"/>
      <w:bookmarkEnd w:id="26"/>
      <w:r w:rsidR="00E84BE4">
        <w:t xml:space="preserve"> </w:t>
      </w:r>
      <w:bookmarkEnd w:id="27"/>
    </w:p>
    <w:tbl>
      <w:tblPr>
        <w:tblStyle w:val="TableGrid"/>
        <w:tblW w:w="8610" w:type="dxa"/>
        <w:tblLook w:val="04A0" w:firstRow="1" w:lastRow="0" w:firstColumn="1" w:lastColumn="0" w:noHBand="0" w:noVBand="1"/>
      </w:tblPr>
      <w:tblGrid>
        <w:gridCol w:w="1358"/>
        <w:gridCol w:w="7252"/>
      </w:tblGrid>
      <w:tr w:rsidR="00E84BE4" w14:paraId="3FE5B27E" w14:textId="77777777" w:rsidTr="00CA5D21">
        <w:trPr>
          <w:trHeight w:val="226"/>
        </w:trPr>
        <w:tc>
          <w:tcPr>
            <w:tcW w:w="1358" w:type="dxa"/>
          </w:tcPr>
          <w:p w14:paraId="3A7EB16B" w14:textId="77777777" w:rsidR="00E84BE4" w:rsidRDefault="00E84BE4" w:rsidP="00CA5D21">
            <w:r>
              <w:t>2-PY</w:t>
            </w:r>
          </w:p>
        </w:tc>
        <w:tc>
          <w:tcPr>
            <w:tcW w:w="7252" w:type="dxa"/>
          </w:tcPr>
          <w:p w14:paraId="296918B5" w14:textId="77777777" w:rsidR="00E84BE4" w:rsidRDefault="00E84BE4" w:rsidP="00CA5D21">
            <w:r>
              <w:t>N1-methyl-2-pyridone 5-carboxamide</w:t>
            </w:r>
          </w:p>
        </w:tc>
      </w:tr>
      <w:tr w:rsidR="00E84BE4" w14:paraId="30443601" w14:textId="77777777" w:rsidTr="00CA5D21">
        <w:trPr>
          <w:trHeight w:val="226"/>
        </w:trPr>
        <w:tc>
          <w:tcPr>
            <w:tcW w:w="1358" w:type="dxa"/>
          </w:tcPr>
          <w:p w14:paraId="69FD6456" w14:textId="77777777" w:rsidR="00E84BE4" w:rsidRPr="00E00F4A" w:rsidRDefault="00E84BE4" w:rsidP="00CA5D21">
            <w:r>
              <w:t>4-PY</w:t>
            </w:r>
          </w:p>
        </w:tc>
        <w:tc>
          <w:tcPr>
            <w:tcW w:w="7252" w:type="dxa"/>
          </w:tcPr>
          <w:p w14:paraId="38FF2BE8" w14:textId="77777777" w:rsidR="00E84BE4" w:rsidRPr="00E00F4A" w:rsidRDefault="00E84BE4" w:rsidP="00CA5D21">
            <w:r>
              <w:t>N1-methyl-4-pyridone 5-carboxamide</w:t>
            </w:r>
          </w:p>
        </w:tc>
      </w:tr>
      <w:tr w:rsidR="008C585A" w14:paraId="5EE81307" w14:textId="77777777" w:rsidTr="00CA5D21">
        <w:trPr>
          <w:trHeight w:val="226"/>
        </w:trPr>
        <w:tc>
          <w:tcPr>
            <w:tcW w:w="1358" w:type="dxa"/>
          </w:tcPr>
          <w:p w14:paraId="446949CE" w14:textId="6D6C693E" w:rsidR="008C585A" w:rsidRDefault="008C585A" w:rsidP="00CA5D21">
            <w:r>
              <w:t>ADPR</w:t>
            </w:r>
          </w:p>
        </w:tc>
        <w:tc>
          <w:tcPr>
            <w:tcW w:w="7252" w:type="dxa"/>
          </w:tcPr>
          <w:p w14:paraId="16413702" w14:textId="3496ECBC" w:rsidR="008C585A" w:rsidRDefault="008C585A" w:rsidP="00CA5D21">
            <w:r>
              <w:t>Adenosine diphosphate ribose</w:t>
            </w:r>
          </w:p>
        </w:tc>
      </w:tr>
      <w:tr w:rsidR="00E84BE4" w14:paraId="327DE1F2" w14:textId="77777777" w:rsidTr="00CA5D21">
        <w:trPr>
          <w:trHeight w:val="226"/>
        </w:trPr>
        <w:tc>
          <w:tcPr>
            <w:tcW w:w="1358" w:type="dxa"/>
          </w:tcPr>
          <w:p w14:paraId="43D88C38" w14:textId="77777777" w:rsidR="00E84BE4" w:rsidRDefault="00E84BE4" w:rsidP="00CA5D21">
            <w:r>
              <w:t>MeNam</w:t>
            </w:r>
          </w:p>
        </w:tc>
        <w:tc>
          <w:tcPr>
            <w:tcW w:w="7252" w:type="dxa"/>
          </w:tcPr>
          <w:p w14:paraId="65882199" w14:textId="77777777" w:rsidR="00E84BE4" w:rsidRDefault="00E84BE4" w:rsidP="00CA5D21">
            <w:r>
              <w:t>N1-methyl-nicotinamide</w:t>
            </w:r>
          </w:p>
        </w:tc>
      </w:tr>
      <w:tr w:rsidR="00E84BE4" w14:paraId="1C8DE19A" w14:textId="77777777" w:rsidTr="00CA5D21">
        <w:trPr>
          <w:trHeight w:val="226"/>
        </w:trPr>
        <w:tc>
          <w:tcPr>
            <w:tcW w:w="1358" w:type="dxa"/>
          </w:tcPr>
          <w:p w14:paraId="2251C1F4" w14:textId="77777777" w:rsidR="00E84BE4" w:rsidRPr="00E00F4A" w:rsidRDefault="00E84BE4" w:rsidP="00CA5D21">
            <w:r w:rsidRPr="00E00F4A">
              <w:t>NA</w:t>
            </w:r>
          </w:p>
        </w:tc>
        <w:tc>
          <w:tcPr>
            <w:tcW w:w="7252" w:type="dxa"/>
          </w:tcPr>
          <w:p w14:paraId="358A7A98" w14:textId="77777777" w:rsidR="00E84BE4" w:rsidRPr="00E00F4A" w:rsidRDefault="00E84BE4" w:rsidP="00CA5D21">
            <w:r w:rsidRPr="00E00F4A">
              <w:t>Nicotinic acid</w:t>
            </w:r>
          </w:p>
        </w:tc>
      </w:tr>
      <w:tr w:rsidR="00E84BE4" w14:paraId="53BEB3A6" w14:textId="77777777" w:rsidTr="00CA5D21">
        <w:trPr>
          <w:trHeight w:val="215"/>
        </w:trPr>
        <w:tc>
          <w:tcPr>
            <w:tcW w:w="1358" w:type="dxa"/>
          </w:tcPr>
          <w:p w14:paraId="0A149642" w14:textId="77777777" w:rsidR="00E84BE4" w:rsidRPr="00E00F4A" w:rsidRDefault="00E84BE4" w:rsidP="00CA5D21">
            <w:r w:rsidRPr="00E00F4A">
              <w:t>NAAD</w:t>
            </w:r>
          </w:p>
        </w:tc>
        <w:tc>
          <w:tcPr>
            <w:tcW w:w="7252" w:type="dxa"/>
          </w:tcPr>
          <w:p w14:paraId="52D51620" w14:textId="77777777" w:rsidR="00E84BE4" w:rsidRPr="00E00F4A" w:rsidRDefault="00E84BE4" w:rsidP="00CA5D21">
            <w:r w:rsidRPr="00E00F4A">
              <w:t>Nicotinic acid adenine dinucleotide</w:t>
            </w:r>
          </w:p>
        </w:tc>
      </w:tr>
      <w:tr w:rsidR="00E84BE4" w14:paraId="001410BA" w14:textId="77777777" w:rsidTr="00CA5D21">
        <w:trPr>
          <w:trHeight w:val="226"/>
        </w:trPr>
        <w:tc>
          <w:tcPr>
            <w:tcW w:w="1358" w:type="dxa"/>
          </w:tcPr>
          <w:p w14:paraId="55FEC1F8" w14:textId="77777777" w:rsidR="00E84BE4" w:rsidRPr="00E00F4A" w:rsidRDefault="00E84BE4" w:rsidP="00CA5D21">
            <w:r w:rsidRPr="00E00F4A">
              <w:t>NAD</w:t>
            </w:r>
          </w:p>
        </w:tc>
        <w:tc>
          <w:tcPr>
            <w:tcW w:w="7252" w:type="dxa"/>
          </w:tcPr>
          <w:p w14:paraId="296418B1" w14:textId="77777777" w:rsidR="00E84BE4" w:rsidRPr="00E00F4A" w:rsidRDefault="00E84BE4" w:rsidP="00CA5D21">
            <w:r w:rsidRPr="00E00F4A">
              <w:t>Nicotinamide adenine dinucleotide</w:t>
            </w:r>
          </w:p>
        </w:tc>
      </w:tr>
      <w:tr w:rsidR="00E84BE4" w14:paraId="5896DDDD" w14:textId="77777777" w:rsidTr="00CA5D21">
        <w:trPr>
          <w:trHeight w:val="226"/>
        </w:trPr>
        <w:tc>
          <w:tcPr>
            <w:tcW w:w="1358" w:type="dxa"/>
          </w:tcPr>
          <w:p w14:paraId="1CD25B8E" w14:textId="77777777" w:rsidR="00E84BE4" w:rsidRPr="00E00F4A" w:rsidRDefault="00E84BE4" w:rsidP="00CA5D21">
            <w:r>
              <w:t>NAD</w:t>
            </w:r>
            <w:r w:rsidRPr="0047494D">
              <w:rPr>
                <w:vertAlign w:val="superscript"/>
              </w:rPr>
              <w:t>+</w:t>
            </w:r>
          </w:p>
        </w:tc>
        <w:tc>
          <w:tcPr>
            <w:tcW w:w="7252" w:type="dxa"/>
          </w:tcPr>
          <w:p w14:paraId="4D0F21F7" w14:textId="77777777" w:rsidR="00E84BE4" w:rsidRPr="00E00F4A" w:rsidRDefault="00E84BE4" w:rsidP="00CA5D21">
            <w:r w:rsidRPr="00E00F4A">
              <w:t>Nicotinamide adenine dinucleotide</w:t>
            </w:r>
            <w:r>
              <w:t xml:space="preserve"> – oxidised form </w:t>
            </w:r>
          </w:p>
        </w:tc>
      </w:tr>
      <w:tr w:rsidR="00E84BE4" w14:paraId="7B55595F" w14:textId="77777777" w:rsidTr="00CA5D21">
        <w:trPr>
          <w:trHeight w:val="226"/>
        </w:trPr>
        <w:tc>
          <w:tcPr>
            <w:tcW w:w="1358" w:type="dxa"/>
          </w:tcPr>
          <w:p w14:paraId="2ECA5F06" w14:textId="77777777" w:rsidR="00E84BE4" w:rsidRDefault="00E84BE4" w:rsidP="00CA5D21">
            <w:r>
              <w:t>NADH</w:t>
            </w:r>
          </w:p>
        </w:tc>
        <w:tc>
          <w:tcPr>
            <w:tcW w:w="7252" w:type="dxa"/>
          </w:tcPr>
          <w:p w14:paraId="24AC26B3" w14:textId="77777777" w:rsidR="00E84BE4" w:rsidRPr="00E00F4A" w:rsidRDefault="00E84BE4" w:rsidP="00CA5D21">
            <w:r w:rsidRPr="00E00F4A">
              <w:t>Nicotinamide adenine dinucleotide</w:t>
            </w:r>
            <w:r>
              <w:t xml:space="preserve"> – reduced form </w:t>
            </w:r>
          </w:p>
        </w:tc>
      </w:tr>
      <w:tr w:rsidR="00E84BE4" w14:paraId="7192E72B" w14:textId="77777777" w:rsidTr="00CA5D21">
        <w:trPr>
          <w:trHeight w:val="226"/>
        </w:trPr>
        <w:tc>
          <w:tcPr>
            <w:tcW w:w="1358" w:type="dxa"/>
          </w:tcPr>
          <w:p w14:paraId="14528222" w14:textId="77777777" w:rsidR="00E84BE4" w:rsidRPr="00E00F4A" w:rsidRDefault="00E84BE4" w:rsidP="00CA5D21">
            <w:r>
              <w:t>Nam</w:t>
            </w:r>
          </w:p>
        </w:tc>
        <w:tc>
          <w:tcPr>
            <w:tcW w:w="7252" w:type="dxa"/>
          </w:tcPr>
          <w:p w14:paraId="3C570621" w14:textId="77777777" w:rsidR="00E84BE4" w:rsidRPr="00E00F4A" w:rsidRDefault="00E84BE4" w:rsidP="00CA5D21">
            <w:r w:rsidRPr="00E00F4A">
              <w:t>Nicotinamide</w:t>
            </w:r>
          </w:p>
        </w:tc>
      </w:tr>
      <w:tr w:rsidR="00E84BE4" w14:paraId="05BE9A20" w14:textId="77777777" w:rsidTr="00CA5D21">
        <w:trPr>
          <w:trHeight w:val="226"/>
        </w:trPr>
        <w:tc>
          <w:tcPr>
            <w:tcW w:w="1358" w:type="dxa"/>
          </w:tcPr>
          <w:p w14:paraId="2BBB4BE4" w14:textId="77777777" w:rsidR="00E84BE4" w:rsidRDefault="00E84BE4" w:rsidP="00CA5D21">
            <w:r>
              <w:t>Nam oxide</w:t>
            </w:r>
          </w:p>
        </w:tc>
        <w:tc>
          <w:tcPr>
            <w:tcW w:w="7252" w:type="dxa"/>
          </w:tcPr>
          <w:p w14:paraId="4B5B39A0" w14:textId="77777777" w:rsidR="00E84BE4" w:rsidRPr="00E00F4A" w:rsidRDefault="00E84BE4" w:rsidP="00CA5D21">
            <w:r w:rsidRPr="00E00F4A">
              <w:t>Nicotinamide</w:t>
            </w:r>
            <w:r>
              <w:t xml:space="preserve"> oxide</w:t>
            </w:r>
          </w:p>
        </w:tc>
      </w:tr>
      <w:tr w:rsidR="00E84BE4" w14:paraId="38BF9F02" w14:textId="77777777" w:rsidTr="00CA5D21">
        <w:trPr>
          <w:trHeight w:val="226"/>
        </w:trPr>
        <w:tc>
          <w:tcPr>
            <w:tcW w:w="1358" w:type="dxa"/>
          </w:tcPr>
          <w:p w14:paraId="7C2B7FC9" w14:textId="77777777" w:rsidR="00E84BE4" w:rsidRDefault="00E84BE4" w:rsidP="00CA5D21">
            <w:r>
              <w:t>NAMN</w:t>
            </w:r>
          </w:p>
        </w:tc>
        <w:tc>
          <w:tcPr>
            <w:tcW w:w="7252" w:type="dxa"/>
          </w:tcPr>
          <w:p w14:paraId="2BD22AC5" w14:textId="77777777" w:rsidR="00E84BE4" w:rsidRPr="00E00F4A" w:rsidRDefault="00E84BE4" w:rsidP="00CA5D21">
            <w:r>
              <w:t>Nicotinic acid mononucleotide</w:t>
            </w:r>
          </w:p>
        </w:tc>
      </w:tr>
      <w:tr w:rsidR="00E84BE4" w14:paraId="27329C25" w14:textId="77777777" w:rsidTr="00CA5D21">
        <w:trPr>
          <w:trHeight w:val="277"/>
        </w:trPr>
        <w:tc>
          <w:tcPr>
            <w:tcW w:w="1358" w:type="dxa"/>
          </w:tcPr>
          <w:p w14:paraId="2A43E898" w14:textId="77777777" w:rsidR="00E84BE4" w:rsidRDefault="00E84BE4" w:rsidP="00CA5D21">
            <w:r>
              <w:t>NADP</w:t>
            </w:r>
          </w:p>
        </w:tc>
        <w:tc>
          <w:tcPr>
            <w:tcW w:w="7252" w:type="dxa"/>
          </w:tcPr>
          <w:p w14:paraId="0A3ED308" w14:textId="77777777" w:rsidR="00E84BE4" w:rsidRPr="00E00F4A" w:rsidRDefault="00E84BE4" w:rsidP="00CA5D21">
            <w:r>
              <w:t>Nicotinamide adenine dinucleotide phosphate</w:t>
            </w:r>
          </w:p>
        </w:tc>
      </w:tr>
      <w:tr w:rsidR="00E84BE4" w14:paraId="421E4676" w14:textId="77777777" w:rsidTr="00CA5D21">
        <w:trPr>
          <w:trHeight w:val="277"/>
        </w:trPr>
        <w:tc>
          <w:tcPr>
            <w:tcW w:w="1358" w:type="dxa"/>
          </w:tcPr>
          <w:p w14:paraId="5B9D00CB" w14:textId="77777777" w:rsidR="00E84BE4" w:rsidRDefault="00E84BE4" w:rsidP="00CA5D21">
            <w:r>
              <w:t>NADP</w:t>
            </w:r>
            <w:r w:rsidRPr="0047494D">
              <w:rPr>
                <w:vertAlign w:val="superscript"/>
              </w:rPr>
              <w:t>+</w:t>
            </w:r>
          </w:p>
        </w:tc>
        <w:tc>
          <w:tcPr>
            <w:tcW w:w="7252" w:type="dxa"/>
          </w:tcPr>
          <w:p w14:paraId="31346548" w14:textId="77777777" w:rsidR="00E84BE4" w:rsidRDefault="00E84BE4" w:rsidP="00CA5D21">
            <w:r>
              <w:t>Nicotinamide adenine dinucleotide phosphate – oxidised form</w:t>
            </w:r>
          </w:p>
        </w:tc>
      </w:tr>
      <w:tr w:rsidR="00E84BE4" w14:paraId="5584553E" w14:textId="77777777" w:rsidTr="00CA5D21">
        <w:trPr>
          <w:trHeight w:val="277"/>
        </w:trPr>
        <w:tc>
          <w:tcPr>
            <w:tcW w:w="1358" w:type="dxa"/>
          </w:tcPr>
          <w:p w14:paraId="1E81E566" w14:textId="77777777" w:rsidR="00E84BE4" w:rsidRDefault="00E84BE4" w:rsidP="00CA5D21">
            <w:r>
              <w:t>NADPH</w:t>
            </w:r>
          </w:p>
        </w:tc>
        <w:tc>
          <w:tcPr>
            <w:tcW w:w="7252" w:type="dxa"/>
          </w:tcPr>
          <w:p w14:paraId="784A4D4C" w14:textId="77777777" w:rsidR="00E84BE4" w:rsidRDefault="00E84BE4" w:rsidP="00CA5D21">
            <w:r>
              <w:t>Nicotinamide adenine dinucleotide phosphate – reduced form</w:t>
            </w:r>
          </w:p>
        </w:tc>
      </w:tr>
      <w:tr w:rsidR="00E84BE4" w14:paraId="3926BAF7" w14:textId="77777777" w:rsidTr="00CA5D21">
        <w:trPr>
          <w:trHeight w:val="255"/>
        </w:trPr>
        <w:tc>
          <w:tcPr>
            <w:tcW w:w="1358" w:type="dxa"/>
          </w:tcPr>
          <w:p w14:paraId="50C71672" w14:textId="77777777" w:rsidR="00E84BE4" w:rsidRDefault="00E84BE4" w:rsidP="00CA5D21">
            <w:r>
              <w:t>NAR</w:t>
            </w:r>
          </w:p>
        </w:tc>
        <w:tc>
          <w:tcPr>
            <w:tcW w:w="7252" w:type="dxa"/>
          </w:tcPr>
          <w:p w14:paraId="00B4F4FA" w14:textId="77777777" w:rsidR="00E84BE4" w:rsidRDefault="00E84BE4" w:rsidP="00CA5D21">
            <w:r w:rsidRPr="00E00F4A">
              <w:t>Nicotinic acid</w:t>
            </w:r>
            <w:r>
              <w:t xml:space="preserve"> riboside</w:t>
            </w:r>
          </w:p>
        </w:tc>
      </w:tr>
      <w:tr w:rsidR="00E84BE4" w14:paraId="0C8D9AFD" w14:textId="77777777" w:rsidTr="00CA5D21">
        <w:trPr>
          <w:trHeight w:val="255"/>
        </w:trPr>
        <w:tc>
          <w:tcPr>
            <w:tcW w:w="1358" w:type="dxa"/>
          </w:tcPr>
          <w:p w14:paraId="1DDF6CA7" w14:textId="77777777" w:rsidR="00E84BE4" w:rsidRDefault="00E84BE4" w:rsidP="00CA5D21">
            <w:r>
              <w:t>NR</w:t>
            </w:r>
          </w:p>
        </w:tc>
        <w:tc>
          <w:tcPr>
            <w:tcW w:w="7252" w:type="dxa"/>
          </w:tcPr>
          <w:p w14:paraId="1F57F639" w14:textId="77777777" w:rsidR="00E84BE4" w:rsidRPr="00E00F4A" w:rsidRDefault="00E84BE4" w:rsidP="00CA5D21">
            <w:r>
              <w:t>Nicotinamide riboside</w:t>
            </w:r>
          </w:p>
        </w:tc>
      </w:tr>
      <w:tr w:rsidR="00E84BE4" w14:paraId="70EDFD45" w14:textId="77777777" w:rsidTr="00CA5D21">
        <w:trPr>
          <w:trHeight w:val="226"/>
        </w:trPr>
        <w:tc>
          <w:tcPr>
            <w:tcW w:w="1358" w:type="dxa"/>
          </w:tcPr>
          <w:p w14:paraId="2F7F8AD1" w14:textId="77777777" w:rsidR="00E84BE4" w:rsidRPr="00E00F4A" w:rsidRDefault="00E84BE4" w:rsidP="00CA5D21">
            <w:r w:rsidRPr="00E00F4A">
              <w:t>NE</w:t>
            </w:r>
          </w:p>
        </w:tc>
        <w:tc>
          <w:tcPr>
            <w:tcW w:w="7252" w:type="dxa"/>
          </w:tcPr>
          <w:p w14:paraId="4AFD4286" w14:textId="77777777" w:rsidR="00E84BE4" w:rsidRPr="00E00F4A" w:rsidRDefault="00E84BE4" w:rsidP="00CA5D21">
            <w:r w:rsidRPr="00E00F4A">
              <w:t>Niacin equivalents</w:t>
            </w:r>
          </w:p>
        </w:tc>
      </w:tr>
      <w:tr w:rsidR="00E84BE4" w14:paraId="5BAF564F" w14:textId="77777777" w:rsidTr="00CA5D21">
        <w:trPr>
          <w:trHeight w:val="226"/>
        </w:trPr>
        <w:tc>
          <w:tcPr>
            <w:tcW w:w="1358" w:type="dxa"/>
          </w:tcPr>
          <w:p w14:paraId="751A4429" w14:textId="77777777" w:rsidR="00E84BE4" w:rsidRPr="00E00F4A" w:rsidRDefault="00E84BE4" w:rsidP="00CA5D21">
            <w:r w:rsidRPr="00E00F4A">
              <w:t>NMN</w:t>
            </w:r>
          </w:p>
        </w:tc>
        <w:tc>
          <w:tcPr>
            <w:tcW w:w="7252" w:type="dxa"/>
          </w:tcPr>
          <w:p w14:paraId="0BB5E217" w14:textId="77777777" w:rsidR="00E84BE4" w:rsidRPr="00E00F4A" w:rsidRDefault="00E84BE4" w:rsidP="00CA5D21">
            <w:r w:rsidRPr="00E00F4A">
              <w:t>Nicotinamide mononucleotide</w:t>
            </w:r>
          </w:p>
        </w:tc>
      </w:tr>
    </w:tbl>
    <w:p w14:paraId="708EF940" w14:textId="77777777" w:rsidR="00E84BE4" w:rsidRDefault="00E84BE4" w:rsidP="00E84BE4">
      <w:pPr>
        <w:widowControl/>
        <w:rPr>
          <w:b/>
          <w:bCs/>
          <w:sz w:val="36"/>
          <w:szCs w:val="28"/>
          <w:lang w:bidi="ar-SA"/>
        </w:rPr>
      </w:pPr>
    </w:p>
    <w:p w14:paraId="1FA405FD" w14:textId="654EA896" w:rsidR="00E84BE4" w:rsidRDefault="00E84BE4">
      <w:pPr>
        <w:widowControl/>
      </w:pPr>
      <w:r>
        <w:br w:type="page"/>
      </w:r>
    </w:p>
    <w:p w14:paraId="7286707C" w14:textId="69F4D709" w:rsidR="00D60568" w:rsidRDefault="00463F16" w:rsidP="007D2E2E">
      <w:pPr>
        <w:pStyle w:val="Heading1"/>
        <w:numPr>
          <w:ilvl w:val="0"/>
          <w:numId w:val="4"/>
        </w:numPr>
        <w:spacing w:before="0"/>
        <w:ind w:left="567" w:hanging="567"/>
      </w:pPr>
      <w:bookmarkStart w:id="28" w:name="_Toc65838150"/>
      <w:bookmarkStart w:id="29" w:name="_Toc65838406"/>
      <w:bookmarkStart w:id="30" w:name="_Toc65838648"/>
      <w:bookmarkStart w:id="31" w:name="_Toc65840072"/>
      <w:bookmarkStart w:id="32" w:name="_Toc65509055"/>
      <w:bookmarkStart w:id="33" w:name="_Toc65578792"/>
      <w:bookmarkStart w:id="34" w:name="_Toc65587186"/>
      <w:bookmarkStart w:id="35" w:name="_Toc65587156"/>
      <w:bookmarkStart w:id="36" w:name="_Toc65682765"/>
      <w:bookmarkStart w:id="37" w:name="_Toc65764305"/>
      <w:bookmarkStart w:id="38" w:name="_Toc65764638"/>
      <w:bookmarkStart w:id="39" w:name="_Toc65841208"/>
      <w:bookmarkStart w:id="40" w:name="_Toc66443223"/>
      <w:bookmarkStart w:id="41" w:name="_Toc66436779"/>
      <w:bookmarkStart w:id="42" w:name="_Toc66458131"/>
      <w:bookmarkStart w:id="43" w:name="_Toc66451405"/>
      <w:bookmarkStart w:id="44" w:name="_Toc66458798"/>
      <w:bookmarkStart w:id="45" w:name="_Toc66458931"/>
      <w:bookmarkStart w:id="46" w:name="_Toc66461626"/>
      <w:bookmarkStart w:id="47" w:name="_Toc69899733"/>
      <w:bookmarkEnd w:id="28"/>
      <w:bookmarkEnd w:id="29"/>
      <w:bookmarkEnd w:id="30"/>
      <w:bookmarkEnd w:id="31"/>
      <w:r>
        <w:lastRenderedPageBreak/>
        <w:t>Introduction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5786F61" w14:textId="3DBE0494" w:rsidR="00955C64" w:rsidRDefault="0029778E" w:rsidP="00A224DF">
      <w:pPr>
        <w:rPr>
          <w:szCs w:val="22"/>
        </w:rPr>
      </w:pPr>
      <w:r>
        <w:t xml:space="preserve">FSANZ </w:t>
      </w:r>
      <w:r w:rsidR="00955C64">
        <w:t>received</w:t>
      </w:r>
      <w:r>
        <w:t xml:space="preserve"> an application from ChromaDex Inc. to amend</w:t>
      </w:r>
      <w:r w:rsidR="00955C64">
        <w:t xml:space="preserve"> the</w:t>
      </w:r>
      <w:r w:rsidRPr="0029778E">
        <w:rPr>
          <w:bCs/>
          <w:szCs w:val="22"/>
        </w:rPr>
        <w:t xml:space="preserve"> Code</w:t>
      </w:r>
      <w:r w:rsidR="00955C64">
        <w:rPr>
          <w:szCs w:val="22"/>
        </w:rPr>
        <w:t xml:space="preserve"> to permit the use of </w:t>
      </w:r>
      <w:r w:rsidR="003937C4">
        <w:rPr>
          <w:szCs w:val="22"/>
        </w:rPr>
        <w:t>nicotinamide riboside chloride (</w:t>
      </w:r>
      <w:r w:rsidR="003937C4" w:rsidRPr="0029778E">
        <w:rPr>
          <w:bCs/>
          <w:szCs w:val="22"/>
        </w:rPr>
        <w:t>NR</w:t>
      </w:r>
      <w:r w:rsidR="003937C4">
        <w:rPr>
          <w:bCs/>
          <w:szCs w:val="22"/>
        </w:rPr>
        <w:t xml:space="preserve">C) </w:t>
      </w:r>
      <w:r>
        <w:rPr>
          <w:szCs w:val="22"/>
        </w:rPr>
        <w:t xml:space="preserve">as a permitted form of </w:t>
      </w:r>
      <w:r w:rsidR="004332DD">
        <w:rPr>
          <w:szCs w:val="22"/>
        </w:rPr>
        <w:t>v</w:t>
      </w:r>
      <w:r>
        <w:rPr>
          <w:szCs w:val="22"/>
        </w:rPr>
        <w:t>itamin B3 in</w:t>
      </w:r>
      <w:r w:rsidR="003937C4">
        <w:rPr>
          <w:szCs w:val="22"/>
        </w:rPr>
        <w:t xml:space="preserve"> food for special medical purposes (</w:t>
      </w:r>
      <w:r w:rsidRPr="0029778E">
        <w:rPr>
          <w:bCs/>
          <w:szCs w:val="22"/>
        </w:rPr>
        <w:t>FSMPs</w:t>
      </w:r>
      <w:r w:rsidR="00F03072">
        <w:rPr>
          <w:bCs/>
          <w:szCs w:val="22"/>
        </w:rPr>
        <w:t>)</w:t>
      </w:r>
      <w:r w:rsidR="00955C64">
        <w:rPr>
          <w:szCs w:val="22"/>
        </w:rPr>
        <w:t xml:space="preserve"> that partially or</w:t>
      </w:r>
      <w:r w:rsidR="00540AC9">
        <w:rPr>
          <w:szCs w:val="22"/>
        </w:rPr>
        <w:t xml:space="preserve"> totally replace the daily diet. These products </w:t>
      </w:r>
      <w:r w:rsidR="00955C64">
        <w:rPr>
          <w:szCs w:val="22"/>
        </w:rPr>
        <w:t xml:space="preserve">are recommended to be used under medical supervision. </w:t>
      </w:r>
    </w:p>
    <w:p w14:paraId="4E905B7D" w14:textId="2B650911" w:rsidR="004332DD" w:rsidRDefault="004332DD" w:rsidP="00A224DF">
      <w:pPr>
        <w:rPr>
          <w:szCs w:val="22"/>
        </w:rPr>
      </w:pPr>
    </w:p>
    <w:p w14:paraId="5FF21E38" w14:textId="176D542A" w:rsidR="00E95F03" w:rsidRDefault="00AB6550" w:rsidP="00A224DF">
      <w:pPr>
        <w:rPr>
          <w:szCs w:val="22"/>
        </w:rPr>
      </w:pPr>
      <w:r>
        <w:rPr>
          <w:szCs w:val="22"/>
        </w:rPr>
        <w:t>The a</w:t>
      </w:r>
      <w:r w:rsidR="00E95F03">
        <w:rPr>
          <w:szCs w:val="22"/>
        </w:rPr>
        <w:t xml:space="preserve">pplication refers to ‘vitamin B3’, however the Code refers to ‘niacin’ in its permissions, and from herein the latter term will be referenced. Niacin is the generic descriptor commonly used for the closely related compounds </w:t>
      </w:r>
      <w:r w:rsidR="00E95F03" w:rsidRPr="00E95F03">
        <w:rPr>
          <w:szCs w:val="22"/>
        </w:rPr>
        <w:t>nicotinic acid (pyridine-3-carboxylic acid)</w:t>
      </w:r>
      <w:r w:rsidR="000328E1">
        <w:rPr>
          <w:szCs w:val="22"/>
        </w:rPr>
        <w:t xml:space="preserve"> and </w:t>
      </w:r>
      <w:r w:rsidR="00E95F03" w:rsidRPr="00E95F03">
        <w:rPr>
          <w:szCs w:val="22"/>
        </w:rPr>
        <w:t>nicotinamide (niacinamide or pyridine-3-carboxamide).</w:t>
      </w:r>
      <w:r w:rsidR="003937C4">
        <w:rPr>
          <w:szCs w:val="22"/>
        </w:rPr>
        <w:t xml:space="preserve"> </w:t>
      </w:r>
      <w:r w:rsidR="003937C4">
        <w:t xml:space="preserve">Niacin functions as a source of </w:t>
      </w:r>
      <w:r w:rsidR="003937C4" w:rsidRPr="00955C64">
        <w:rPr>
          <w:bCs/>
          <w:szCs w:val="22"/>
        </w:rPr>
        <w:t>NAD</w:t>
      </w:r>
      <w:r w:rsidR="003937C4" w:rsidRPr="00ED1783">
        <w:rPr>
          <w:vertAlign w:val="superscript"/>
        </w:rPr>
        <w:t>+</w:t>
      </w:r>
      <w:r w:rsidR="003937C4">
        <w:rPr>
          <w:szCs w:val="22"/>
        </w:rPr>
        <w:t xml:space="preserve"> </w:t>
      </w:r>
      <w:r w:rsidR="003937C4">
        <w:t>in the body which is required for a range of cellular functions.</w:t>
      </w:r>
      <w:r w:rsidR="00E95F03">
        <w:rPr>
          <w:szCs w:val="22"/>
        </w:rPr>
        <w:t xml:space="preserve"> These compounds are water soluble and naturally present in many foods. </w:t>
      </w:r>
      <w:r w:rsidR="003937C4">
        <w:t>Niacin is an essential nutrient which must be obtained through dietary sources as the body cannot produce it on its own.</w:t>
      </w:r>
    </w:p>
    <w:p w14:paraId="574126E5" w14:textId="3AEF756F" w:rsidR="00E95F03" w:rsidRDefault="00E95F03" w:rsidP="00A224DF">
      <w:pPr>
        <w:rPr>
          <w:szCs w:val="22"/>
        </w:rPr>
      </w:pPr>
    </w:p>
    <w:p w14:paraId="5756AF13" w14:textId="321A889C" w:rsidR="00A11E2B" w:rsidRDefault="00AB6550" w:rsidP="00A224DF">
      <w:pPr>
        <w:rPr>
          <w:szCs w:val="22"/>
        </w:rPr>
      </w:pPr>
      <w:r>
        <w:rPr>
          <w:szCs w:val="22"/>
        </w:rPr>
        <w:t>This a</w:t>
      </w:r>
      <w:r w:rsidR="00A11E2B">
        <w:rPr>
          <w:szCs w:val="22"/>
        </w:rPr>
        <w:t>pplication requests permission to use a new form of an a</w:t>
      </w:r>
      <w:r>
        <w:rPr>
          <w:szCs w:val="22"/>
        </w:rPr>
        <w:t>lready permitted vitamin. This a</w:t>
      </w:r>
      <w:r w:rsidR="00A11E2B">
        <w:rPr>
          <w:szCs w:val="22"/>
        </w:rPr>
        <w:t>pplication does not propose any amendment to the mandatory compositional, labelling or other requirements for FSMPs.</w:t>
      </w:r>
      <w:r w:rsidR="00ED2F58">
        <w:rPr>
          <w:szCs w:val="22"/>
        </w:rPr>
        <w:t xml:space="preserve"> </w:t>
      </w:r>
    </w:p>
    <w:p w14:paraId="4244C392" w14:textId="77777777" w:rsidR="00955C64" w:rsidRDefault="00955C64" w:rsidP="00A224DF">
      <w:pPr>
        <w:rPr>
          <w:szCs w:val="22"/>
        </w:rPr>
      </w:pPr>
    </w:p>
    <w:p w14:paraId="3AE6E278" w14:textId="77777777" w:rsidR="00172715" w:rsidRDefault="00172715" w:rsidP="00A224DF">
      <w:pPr>
        <w:widowControl/>
        <w:rPr>
          <w:b/>
          <w:bCs/>
          <w:sz w:val="36"/>
          <w:szCs w:val="28"/>
          <w:lang w:bidi="ar-SA"/>
        </w:rPr>
      </w:pPr>
      <w:r>
        <w:rPr>
          <w:b/>
          <w:bCs/>
          <w:sz w:val="36"/>
          <w:szCs w:val="28"/>
          <w:lang w:bidi="ar-SA"/>
        </w:rPr>
        <w:br w:type="page"/>
      </w:r>
    </w:p>
    <w:p w14:paraId="446A3B4F" w14:textId="53BB3FF3" w:rsidR="00CC4199" w:rsidRPr="00CC4199" w:rsidRDefault="000C0A40" w:rsidP="00CC4199">
      <w:pPr>
        <w:pStyle w:val="Heading1"/>
        <w:numPr>
          <w:ilvl w:val="0"/>
          <w:numId w:val="4"/>
        </w:numPr>
        <w:spacing w:before="0"/>
        <w:ind w:left="567" w:hanging="567"/>
      </w:pPr>
      <w:bookmarkStart w:id="48" w:name="_Toc65509056"/>
      <w:bookmarkStart w:id="49" w:name="_Toc65578793"/>
      <w:bookmarkStart w:id="50" w:name="_Toc65587187"/>
      <w:bookmarkStart w:id="51" w:name="_Toc65587157"/>
      <w:bookmarkStart w:id="52" w:name="_Toc65682766"/>
      <w:bookmarkStart w:id="53" w:name="_Toc65764307"/>
      <w:bookmarkStart w:id="54" w:name="_Toc65764640"/>
      <w:bookmarkStart w:id="55" w:name="_Toc65841209"/>
      <w:bookmarkStart w:id="56" w:name="_Toc66443224"/>
      <w:bookmarkStart w:id="57" w:name="_Toc66436780"/>
      <w:bookmarkStart w:id="58" w:name="_Toc66458132"/>
      <w:bookmarkStart w:id="59" w:name="_Toc66451406"/>
      <w:bookmarkStart w:id="60" w:name="_Toc66458799"/>
      <w:bookmarkStart w:id="61" w:name="_Toc66458932"/>
      <w:bookmarkStart w:id="62" w:name="_Toc66461627"/>
      <w:bookmarkStart w:id="63" w:name="_Toc69899734"/>
      <w:r>
        <w:lastRenderedPageBreak/>
        <w:t>Nutrition Risk Assessment</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570FFAB2" w14:textId="4C2024F4" w:rsidR="00C40934" w:rsidRDefault="00C40934" w:rsidP="00533BF1">
      <w:pPr>
        <w:pStyle w:val="Heading2"/>
      </w:pPr>
      <w:bookmarkStart w:id="64" w:name="_Toc65509057"/>
      <w:bookmarkStart w:id="65" w:name="_Toc65578794"/>
      <w:bookmarkStart w:id="66" w:name="_Toc65587188"/>
      <w:bookmarkStart w:id="67" w:name="_Toc65587158"/>
      <w:bookmarkStart w:id="68" w:name="_Toc65682767"/>
      <w:bookmarkStart w:id="69" w:name="_Toc65764308"/>
      <w:bookmarkStart w:id="70" w:name="_Toc65764641"/>
      <w:bookmarkStart w:id="71" w:name="_Toc65841210"/>
      <w:bookmarkStart w:id="72" w:name="_Toc66443225"/>
      <w:bookmarkStart w:id="73" w:name="_Toc66436781"/>
      <w:bookmarkStart w:id="74" w:name="_Toc66458133"/>
      <w:bookmarkStart w:id="75" w:name="_Toc66451407"/>
      <w:bookmarkStart w:id="76" w:name="_Toc66458800"/>
      <w:bookmarkStart w:id="77" w:name="_Toc66458933"/>
      <w:bookmarkStart w:id="78" w:name="_Toc66461628"/>
      <w:bookmarkStart w:id="79" w:name="_Toc69899735"/>
      <w:r w:rsidRPr="00F900C0">
        <w:t xml:space="preserve">Objectives for the </w:t>
      </w:r>
      <w:r>
        <w:t>nutrition risk assessment</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7F37B1AB" w14:textId="0F593124" w:rsidR="00EA7601" w:rsidRDefault="00EA7601" w:rsidP="00EA7601">
      <w:r>
        <w:t>Objectives for the nutrition assessment include the following:</w:t>
      </w:r>
    </w:p>
    <w:p w14:paraId="08368141" w14:textId="77777777" w:rsidR="00EA7601" w:rsidRPr="00EA7601" w:rsidRDefault="00EA7601" w:rsidP="00EA7601">
      <w:pPr>
        <w:rPr>
          <w:lang w:bidi="ar-SA"/>
        </w:rPr>
      </w:pPr>
    </w:p>
    <w:p w14:paraId="12D0D53B" w14:textId="5EDD262C" w:rsidR="00EA7601" w:rsidRDefault="00EA7601" w:rsidP="00EA7601">
      <w:pPr>
        <w:pStyle w:val="ListParagraph"/>
        <w:numPr>
          <w:ilvl w:val="0"/>
          <w:numId w:val="38"/>
        </w:numPr>
      </w:pPr>
      <w:r>
        <w:t>To determine whether NRC is an equivalent source of NAD</w:t>
      </w:r>
      <w:r w:rsidRPr="00EA7601">
        <w:rPr>
          <w:vertAlign w:val="superscript"/>
        </w:rPr>
        <w:t>+</w:t>
      </w:r>
      <w:r>
        <w:t xml:space="preserve"> to currently permitted forms of niacin</w:t>
      </w:r>
    </w:p>
    <w:p w14:paraId="650E46B7" w14:textId="77777777" w:rsidR="008D4344" w:rsidRDefault="008D4344" w:rsidP="008D4344">
      <w:pPr>
        <w:pStyle w:val="ListParagraph"/>
      </w:pPr>
    </w:p>
    <w:p w14:paraId="2A3641C0" w14:textId="450A49BF" w:rsidR="00C40934" w:rsidRPr="00CC4199" w:rsidRDefault="00EA7601" w:rsidP="00CC4199">
      <w:pPr>
        <w:pStyle w:val="ListParagraph"/>
        <w:numPr>
          <w:ilvl w:val="0"/>
          <w:numId w:val="38"/>
        </w:numPr>
      </w:pPr>
      <w:r>
        <w:t xml:space="preserve">To determine the ability of NRC to inhibit </w:t>
      </w:r>
      <w:r w:rsidR="008D4344">
        <w:t xml:space="preserve">or modify </w:t>
      </w:r>
      <w:r>
        <w:t xml:space="preserve">the absorption </w:t>
      </w:r>
      <w:r w:rsidR="008D4344">
        <w:t>of other nutrients</w:t>
      </w:r>
      <w:r w:rsidR="00BF4E0F">
        <w:t>.</w:t>
      </w:r>
    </w:p>
    <w:p w14:paraId="0E62932B" w14:textId="4007DA75" w:rsidR="00E5012A" w:rsidRPr="00F503C9" w:rsidRDefault="00E5012A" w:rsidP="00533BF1">
      <w:pPr>
        <w:pStyle w:val="Heading2"/>
      </w:pPr>
      <w:bookmarkStart w:id="80" w:name="_Toc65509058"/>
      <w:bookmarkStart w:id="81" w:name="_Toc65578795"/>
      <w:bookmarkStart w:id="82" w:name="_Toc65587189"/>
      <w:bookmarkStart w:id="83" w:name="_Toc65587159"/>
      <w:bookmarkStart w:id="84" w:name="_Toc65682768"/>
      <w:bookmarkStart w:id="85" w:name="_Toc65764309"/>
      <w:bookmarkStart w:id="86" w:name="_Toc65764642"/>
      <w:bookmarkStart w:id="87" w:name="_Toc65841211"/>
      <w:bookmarkStart w:id="88" w:name="_Toc66443226"/>
      <w:bookmarkStart w:id="89" w:name="_Toc66436782"/>
      <w:bookmarkStart w:id="90" w:name="_Toc66458134"/>
      <w:bookmarkStart w:id="91" w:name="_Toc66451408"/>
      <w:bookmarkStart w:id="92" w:name="_Toc66458801"/>
      <w:bookmarkStart w:id="93" w:name="_Toc66458934"/>
      <w:bookmarkStart w:id="94" w:name="_Toc66461629"/>
      <w:bookmarkStart w:id="95" w:name="_Toc69899736"/>
      <w:r w:rsidRPr="00DA1F90">
        <w:t>Introduction</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DA1F90">
        <w:t xml:space="preserve"> </w:t>
      </w:r>
    </w:p>
    <w:p w14:paraId="23E86372" w14:textId="3681F13D" w:rsidR="00896C0B" w:rsidRDefault="00E5012A" w:rsidP="00896C0B">
      <w:pPr>
        <w:rPr>
          <w:rFonts w:cs="Arial"/>
          <w:lang w:val="en"/>
        </w:rPr>
      </w:pPr>
      <w:r>
        <w:t xml:space="preserve">Niacin (vitamin B3) is the generic term </w:t>
      </w:r>
      <w:r w:rsidR="00DC64D7">
        <w:t xml:space="preserve">that is commonly </w:t>
      </w:r>
      <w:r>
        <w:t>used to refer to two water-soluble organic compounds – nicotinic acid (pyridine-3-carboxylic acid) and nicotinamide (pyridine-3-carboxamide). Absorbed niacin is converted into the metabolically active coenzyme nicotinamide adenine dinucleotide (NAD; NADH and NAD</w:t>
      </w:r>
      <w:r w:rsidRPr="0053710D">
        <w:rPr>
          <w:vertAlign w:val="superscript"/>
        </w:rPr>
        <w:t>+</w:t>
      </w:r>
      <w:r>
        <w:t xml:space="preserve"> when reduced and oxidised respectively) and nicotinamide adenine dinucleotide phosphate (NADP; NADPH</w:t>
      </w:r>
      <w:r w:rsidRPr="00723ACB">
        <w:rPr>
          <w:vertAlign w:val="subscript"/>
        </w:rPr>
        <w:t xml:space="preserve"> </w:t>
      </w:r>
      <w:r>
        <w:t>and NADP</w:t>
      </w:r>
      <w:r w:rsidRPr="00255290">
        <w:rPr>
          <w:vertAlign w:val="superscript"/>
        </w:rPr>
        <w:t>+</w:t>
      </w:r>
      <w:r>
        <w:t xml:space="preserve"> </w:t>
      </w:r>
      <w:r w:rsidR="00BE1D41" w:rsidRPr="00BE1D41">
        <w:t xml:space="preserve">when reduced and oxidised </w:t>
      </w:r>
      <w:r>
        <w:t>respectively)</w:t>
      </w:r>
      <w:r w:rsidR="00C76348">
        <w:t xml:space="preserve"> </w:t>
      </w:r>
      <w:r w:rsidR="00DC64D7">
        <w:t>(NHMRC 20</w:t>
      </w:r>
      <w:r w:rsidR="005F7AD9">
        <w:t>06</w:t>
      </w:r>
      <w:r w:rsidR="00DC64D7">
        <w:t>, NIH 2021)</w:t>
      </w:r>
      <w:r>
        <w:t>.</w:t>
      </w:r>
      <w:r w:rsidR="00BE1D41">
        <w:rPr>
          <w:rFonts w:cs="Arial"/>
        </w:rPr>
        <w:t xml:space="preserve"> </w:t>
      </w:r>
      <w:r w:rsidRPr="00A7772C">
        <w:rPr>
          <w:rFonts w:cs="Arial"/>
        </w:rPr>
        <w:t>NAD and NADP are required in most metabolic redox processes. NAD is also needed for non-redox adenosine diphosphate-ribose transfer reactions involved in DNA repair and calci</w:t>
      </w:r>
      <w:r>
        <w:rPr>
          <w:rFonts w:cs="Arial"/>
        </w:rPr>
        <w:t xml:space="preserve">um </w:t>
      </w:r>
      <w:r w:rsidRPr="00A7772C">
        <w:rPr>
          <w:rFonts w:cs="Arial"/>
        </w:rPr>
        <w:t xml:space="preserve">mobilisation. </w:t>
      </w:r>
      <w:r w:rsidRPr="00A7772C">
        <w:rPr>
          <w:rFonts w:cs="Arial"/>
          <w:lang w:val="en"/>
        </w:rPr>
        <w:t xml:space="preserve">Because of </w:t>
      </w:r>
      <w:r>
        <w:rPr>
          <w:rFonts w:cs="Arial"/>
          <w:lang w:val="en"/>
        </w:rPr>
        <w:t xml:space="preserve">its </w:t>
      </w:r>
      <w:r w:rsidRPr="00A7772C">
        <w:rPr>
          <w:rFonts w:cs="Arial"/>
          <w:lang w:val="en"/>
        </w:rPr>
        <w:t xml:space="preserve">role in energy metabolism, niacin requirements are, to some extent, related to energy requirements. </w:t>
      </w:r>
    </w:p>
    <w:p w14:paraId="32108169" w14:textId="6AEC0FB6" w:rsidR="009A1E18" w:rsidRDefault="009A1E18" w:rsidP="00896C0B">
      <w:pPr>
        <w:rPr>
          <w:rFonts w:cs="Arial"/>
          <w:lang w:val="en"/>
        </w:rPr>
      </w:pPr>
    </w:p>
    <w:p w14:paraId="6536DA0A" w14:textId="77777777" w:rsidR="009A1E18" w:rsidRPr="009A1E18" w:rsidRDefault="009A1E18" w:rsidP="009A1E18">
      <w:r w:rsidRPr="009A1E18">
        <w:t>NAD</w:t>
      </w:r>
      <w:r w:rsidRPr="009A1E18">
        <w:rPr>
          <w:vertAlign w:val="superscript"/>
        </w:rPr>
        <w:t>+</w:t>
      </w:r>
      <w:r w:rsidRPr="009A1E18">
        <w:t xml:space="preserve"> was previously considered to be formed via only three distinct pathways (Figure 1): (i)</w:t>
      </w:r>
    </w:p>
    <w:p w14:paraId="157ACAC6" w14:textId="77777777" w:rsidR="009A1E18" w:rsidRDefault="009A1E18" w:rsidP="009A1E18">
      <w:r w:rsidRPr="009A1E18">
        <w:t xml:space="preserve"> nicotinic acid (NA) is converted to NAD</w:t>
      </w:r>
      <w:r w:rsidRPr="009A1E18">
        <w:rPr>
          <w:vertAlign w:val="superscript"/>
        </w:rPr>
        <w:t>+</w:t>
      </w:r>
      <w:r w:rsidRPr="009A1E18">
        <w:t xml:space="preserve"> via the Preiss-Handler Pathway, with precursors nicotinic acid mononucleotide (NAMN) and nicotinic acid adenine dinucleotide (NAAD); (ii) nicotinamide (Nam) is formed as a by-product of NAD</w:t>
      </w:r>
      <w:r w:rsidRPr="009A1E18">
        <w:rPr>
          <w:vertAlign w:val="superscript"/>
        </w:rPr>
        <w:t>+</w:t>
      </w:r>
      <w:r w:rsidRPr="009A1E18">
        <w:t xml:space="preserve"> consuming enzymes, and recycled via the salvage pathway to nicotinamide mononucleotide (NMN) and then to NAD</w:t>
      </w:r>
      <w:r w:rsidRPr="009A1E18">
        <w:rPr>
          <w:vertAlign w:val="superscript"/>
        </w:rPr>
        <w:t>+</w:t>
      </w:r>
      <w:r w:rsidRPr="009A1E18">
        <w:t>. Excess Nam is converted in the liver to methyl-nicotinamide (MeNam) and metabolised to N1-methyl-2-pyridone 5-carboxamide (2-PY) and N1-methyl-4-pyridone 5-carboxamide (4-PY); and (iii) the amino acid tryptophan is converted to NAD</w:t>
      </w:r>
      <w:r w:rsidRPr="009A1E18">
        <w:rPr>
          <w:vertAlign w:val="superscript"/>
        </w:rPr>
        <w:t>+</w:t>
      </w:r>
      <w:r w:rsidRPr="009A1E18">
        <w:t xml:space="preserve"> via the de novo/</w:t>
      </w:r>
      <w:r w:rsidRPr="009A1E18">
        <w:rPr>
          <w:lang w:val="en"/>
        </w:rPr>
        <w:t>kinurenine</w:t>
      </w:r>
      <w:r w:rsidRPr="009A1E18">
        <w:t xml:space="preserve"> pathway.</w:t>
      </w:r>
    </w:p>
    <w:p w14:paraId="264CFD8A" w14:textId="51023685" w:rsidR="009A1E18" w:rsidRPr="009A1E18" w:rsidRDefault="009A1E18" w:rsidP="00BA6BAC">
      <w:pPr>
        <w:pStyle w:val="Heading2"/>
      </w:pPr>
      <w:r>
        <w:t xml:space="preserve"> </w:t>
      </w:r>
      <w:bookmarkStart w:id="96" w:name="_Toc66443227"/>
      <w:bookmarkStart w:id="97" w:name="_Toc66436783"/>
      <w:bookmarkStart w:id="98" w:name="_Toc66458135"/>
      <w:bookmarkStart w:id="99" w:name="_Toc66451409"/>
      <w:bookmarkStart w:id="100" w:name="_Toc66458802"/>
      <w:bookmarkStart w:id="101" w:name="_Toc66458935"/>
      <w:bookmarkStart w:id="102" w:name="_Toc66461630"/>
      <w:bookmarkStart w:id="103" w:name="_Toc69899737"/>
      <w:bookmarkStart w:id="104" w:name="_Toc65509059"/>
      <w:bookmarkStart w:id="105" w:name="_Toc65578796"/>
      <w:bookmarkStart w:id="106" w:name="_Toc65587190"/>
      <w:bookmarkStart w:id="107" w:name="_Toc65587160"/>
      <w:bookmarkStart w:id="108" w:name="_Toc65682769"/>
      <w:bookmarkStart w:id="109" w:name="_Toc65764310"/>
      <w:bookmarkStart w:id="110" w:name="_Toc65764643"/>
      <w:bookmarkStart w:id="111" w:name="_Toc65841212"/>
      <w:r w:rsidRPr="00BA6BAC">
        <w:rPr>
          <w:bCs w:val="0"/>
        </w:rPr>
        <w:t>Niacin dietary sources and bioavailability</w:t>
      </w:r>
      <w:bookmarkEnd w:id="96"/>
      <w:bookmarkEnd w:id="97"/>
      <w:bookmarkEnd w:id="98"/>
      <w:bookmarkEnd w:id="99"/>
      <w:bookmarkEnd w:id="100"/>
      <w:bookmarkEnd w:id="101"/>
      <w:bookmarkEnd w:id="102"/>
      <w:bookmarkEnd w:id="103"/>
      <w:r w:rsidRPr="009A1E18">
        <w:t xml:space="preserve"> </w:t>
      </w:r>
      <w:bookmarkEnd w:id="104"/>
      <w:bookmarkEnd w:id="105"/>
      <w:bookmarkEnd w:id="106"/>
      <w:bookmarkEnd w:id="107"/>
      <w:bookmarkEnd w:id="108"/>
      <w:bookmarkEnd w:id="109"/>
      <w:bookmarkEnd w:id="110"/>
      <w:bookmarkEnd w:id="111"/>
    </w:p>
    <w:p w14:paraId="21CA6E32" w14:textId="09608D9F" w:rsidR="00B56CDA" w:rsidRDefault="00E5012A" w:rsidP="005D3866">
      <w:pPr>
        <w:rPr>
          <w:rFonts w:cs="Arial"/>
          <w:lang w:val="en"/>
        </w:rPr>
      </w:pPr>
      <w:r w:rsidRPr="00E00F4A">
        <w:rPr>
          <w:rFonts w:cs="Arial"/>
          <w:lang w:val="en"/>
        </w:rPr>
        <w:t>Niacin is found in organ and muscle meats and meat products, fish, peanuts and wholegrains</w:t>
      </w:r>
      <w:r w:rsidR="006936C3">
        <w:rPr>
          <w:rFonts w:cs="Arial"/>
          <w:lang w:val="en"/>
        </w:rPr>
        <w:t>. Niacin from animal-based products is mainly</w:t>
      </w:r>
      <w:r>
        <w:rPr>
          <w:rFonts w:cs="Arial"/>
          <w:lang w:val="en"/>
        </w:rPr>
        <w:t xml:space="preserve"> </w:t>
      </w:r>
      <w:r w:rsidRPr="00E00F4A">
        <w:rPr>
          <w:rFonts w:cs="Arial"/>
          <w:lang w:val="en"/>
        </w:rPr>
        <w:t xml:space="preserve">in the form of </w:t>
      </w:r>
      <w:r w:rsidRPr="00163C09">
        <w:rPr>
          <w:rFonts w:cs="Arial"/>
          <w:lang w:val="en"/>
        </w:rPr>
        <w:t>NAD</w:t>
      </w:r>
      <w:r w:rsidRPr="00E00F4A">
        <w:rPr>
          <w:rFonts w:cs="Arial"/>
          <w:lang w:val="en"/>
        </w:rPr>
        <w:t xml:space="preserve"> and </w:t>
      </w:r>
      <w:r w:rsidRPr="00163C09">
        <w:rPr>
          <w:rFonts w:cs="Arial"/>
          <w:lang w:val="en"/>
        </w:rPr>
        <w:t>NADP</w:t>
      </w:r>
      <w:r w:rsidRPr="00E00F4A">
        <w:rPr>
          <w:rFonts w:cs="Arial"/>
          <w:lang w:val="en"/>
        </w:rPr>
        <w:t>. Niacin in plant products</w:t>
      </w:r>
      <w:r w:rsidR="00D7529E">
        <w:rPr>
          <w:rFonts w:cs="Arial"/>
          <w:lang w:val="en"/>
        </w:rPr>
        <w:t xml:space="preserve">, </w:t>
      </w:r>
      <w:r w:rsidRPr="00E00F4A">
        <w:rPr>
          <w:rFonts w:cs="Arial"/>
          <w:lang w:val="en"/>
        </w:rPr>
        <w:t>is mainly</w:t>
      </w:r>
      <w:r>
        <w:rPr>
          <w:rFonts w:cs="Arial"/>
          <w:lang w:val="en"/>
        </w:rPr>
        <w:t xml:space="preserve"> in the form of nicotinic acid</w:t>
      </w:r>
      <w:r w:rsidRPr="00E00F4A">
        <w:rPr>
          <w:rFonts w:cs="Arial"/>
          <w:lang w:val="en"/>
        </w:rPr>
        <w:t xml:space="preserve">. </w:t>
      </w:r>
      <w:r>
        <w:rPr>
          <w:rFonts w:cs="Arial"/>
          <w:lang w:val="en"/>
        </w:rPr>
        <w:t xml:space="preserve">As mentioned previously, </w:t>
      </w:r>
      <w:r w:rsidRPr="00E00F4A">
        <w:rPr>
          <w:rFonts w:cs="Arial"/>
          <w:lang w:val="en"/>
        </w:rPr>
        <w:t>N</w:t>
      </w:r>
      <w:r>
        <w:rPr>
          <w:rFonts w:cs="Arial"/>
          <w:lang w:val="en"/>
        </w:rPr>
        <w:t xml:space="preserve">AD </w:t>
      </w:r>
      <w:r w:rsidRPr="00E00F4A">
        <w:rPr>
          <w:rFonts w:cs="Arial"/>
          <w:lang w:val="en"/>
        </w:rPr>
        <w:t>can be made in the body from the amino acid tryptophan</w:t>
      </w:r>
      <w:r>
        <w:rPr>
          <w:rFonts w:cs="Arial"/>
          <w:lang w:val="en"/>
        </w:rPr>
        <w:t>,</w:t>
      </w:r>
      <w:r w:rsidRPr="00E00F4A">
        <w:rPr>
          <w:rFonts w:cs="Arial"/>
          <w:lang w:val="en"/>
        </w:rPr>
        <w:t xml:space="preserve"> </w:t>
      </w:r>
      <w:r w:rsidRPr="00E00F4A">
        <w:rPr>
          <w:rFonts w:cs="Arial"/>
        </w:rPr>
        <w:t>at a</w:t>
      </w:r>
      <w:r w:rsidR="00A23CD7">
        <w:rPr>
          <w:rFonts w:cs="Arial"/>
        </w:rPr>
        <w:t>n average conversion efficiency</w:t>
      </w:r>
      <w:r w:rsidRPr="00E00F4A">
        <w:rPr>
          <w:rFonts w:cs="Arial"/>
        </w:rPr>
        <w:t xml:space="preserve"> </w:t>
      </w:r>
      <w:r>
        <w:rPr>
          <w:rFonts w:cs="Arial"/>
        </w:rPr>
        <w:t>of 60:1 (Wahlqvist 2002) and therefore f</w:t>
      </w:r>
      <w:r w:rsidRPr="00E00F4A">
        <w:rPr>
          <w:rFonts w:cs="Arial"/>
          <w:lang w:val="en"/>
        </w:rPr>
        <w:t>oods that are good</w:t>
      </w:r>
      <w:r>
        <w:rPr>
          <w:rFonts w:cs="Arial"/>
          <w:lang w:val="en"/>
        </w:rPr>
        <w:t xml:space="preserve"> sources of tryptophan</w:t>
      </w:r>
      <w:r w:rsidR="005815B7">
        <w:rPr>
          <w:rFonts w:cs="Arial"/>
          <w:lang w:val="en"/>
        </w:rPr>
        <w:t>,</w:t>
      </w:r>
      <w:r>
        <w:rPr>
          <w:rFonts w:cs="Arial"/>
          <w:lang w:val="en"/>
        </w:rPr>
        <w:t xml:space="preserve"> including</w:t>
      </w:r>
      <w:r w:rsidRPr="00E00F4A">
        <w:rPr>
          <w:rFonts w:cs="Arial"/>
          <w:lang w:val="en"/>
        </w:rPr>
        <w:t xml:space="preserve"> eggs, milk and cheese are </w:t>
      </w:r>
      <w:r>
        <w:rPr>
          <w:rFonts w:cs="Arial"/>
          <w:lang w:val="en"/>
        </w:rPr>
        <w:t xml:space="preserve">considered to be </w:t>
      </w:r>
      <w:r w:rsidRPr="00E00F4A">
        <w:rPr>
          <w:rFonts w:cs="Arial"/>
          <w:lang w:val="en"/>
        </w:rPr>
        <w:t xml:space="preserve">good sources of </w:t>
      </w:r>
      <w:r>
        <w:rPr>
          <w:rFonts w:cs="Arial"/>
          <w:lang w:val="en"/>
        </w:rPr>
        <w:t>niacin</w:t>
      </w:r>
      <w:r w:rsidRPr="00E00F4A">
        <w:rPr>
          <w:rFonts w:cs="Arial"/>
          <w:lang w:val="en"/>
        </w:rPr>
        <w:t xml:space="preserve">. </w:t>
      </w:r>
      <w:r w:rsidR="00B56CDA" w:rsidRPr="00E00F4A">
        <w:rPr>
          <w:rFonts w:cs="Arial"/>
          <w:lang w:val="en"/>
        </w:rPr>
        <w:t>The niacin content of food is usually expressed as niacin equivalents</w:t>
      </w:r>
      <w:r w:rsidR="00B56CDA">
        <w:rPr>
          <w:rFonts w:cs="Arial"/>
          <w:lang w:val="en"/>
        </w:rPr>
        <w:t xml:space="preserve"> (NE)</w:t>
      </w:r>
      <w:r w:rsidR="00B56CDA" w:rsidRPr="00E00F4A">
        <w:rPr>
          <w:rFonts w:cs="Arial"/>
          <w:lang w:val="en"/>
        </w:rPr>
        <w:t>, which is calculated as the s</w:t>
      </w:r>
      <w:r w:rsidR="00B56CDA">
        <w:rPr>
          <w:rFonts w:cs="Arial"/>
          <w:lang w:val="en"/>
        </w:rPr>
        <w:t xml:space="preserve">um </w:t>
      </w:r>
      <w:r w:rsidR="00B56CDA" w:rsidRPr="00E00F4A">
        <w:rPr>
          <w:rFonts w:cs="Arial"/>
          <w:lang w:val="en"/>
        </w:rPr>
        <w:t xml:space="preserve">of niacin content and 1/60 tryptophan content (Rucker </w:t>
      </w:r>
      <w:r w:rsidR="00B56CDA">
        <w:rPr>
          <w:rFonts w:cs="Arial"/>
          <w:lang w:val="en"/>
        </w:rPr>
        <w:t>et al.</w:t>
      </w:r>
      <w:r w:rsidR="00B56CDA" w:rsidRPr="00E00F4A">
        <w:rPr>
          <w:rFonts w:cs="Arial"/>
          <w:lang w:val="en"/>
        </w:rPr>
        <w:t xml:space="preserve"> 2001). The </w:t>
      </w:r>
      <w:r w:rsidR="005D3866">
        <w:rPr>
          <w:rFonts w:cs="Arial"/>
          <w:lang w:val="en"/>
        </w:rPr>
        <w:t>efficiency</w:t>
      </w:r>
      <w:r w:rsidR="00B56CDA" w:rsidRPr="00E00F4A" w:rsidDel="005D3866">
        <w:rPr>
          <w:rFonts w:cs="Arial"/>
          <w:lang w:val="en"/>
        </w:rPr>
        <w:t xml:space="preserve"> of </w:t>
      </w:r>
      <w:r w:rsidR="00B56CDA" w:rsidRPr="00E00F4A">
        <w:rPr>
          <w:rFonts w:cs="Arial"/>
          <w:lang w:val="en"/>
        </w:rPr>
        <w:t xml:space="preserve">tryptophan </w:t>
      </w:r>
      <w:r w:rsidR="005D3866">
        <w:rPr>
          <w:rFonts w:cs="Arial"/>
          <w:lang w:val="en"/>
        </w:rPr>
        <w:t xml:space="preserve">conversion </w:t>
      </w:r>
      <w:r w:rsidR="00B56CDA" w:rsidRPr="00E00F4A">
        <w:rPr>
          <w:rFonts w:cs="Arial"/>
          <w:lang w:val="en"/>
        </w:rPr>
        <w:t xml:space="preserve">is increased when niacin intake is low (Carpenter 1981). </w:t>
      </w:r>
      <w:r w:rsidR="00B56CDA" w:rsidRPr="003E05B3">
        <w:rPr>
          <w:rFonts w:cs="Arial"/>
        </w:rPr>
        <w:t>Inadequate iron, riboflavin or vitamin B6 status decreases the conversion of tryptophan to niacin (McCormick 1988).</w:t>
      </w:r>
    </w:p>
    <w:p w14:paraId="5F384F36" w14:textId="77777777" w:rsidR="00B56CDA" w:rsidRDefault="00B56CDA" w:rsidP="00A224DF">
      <w:pPr>
        <w:rPr>
          <w:rFonts w:cs="Arial"/>
          <w:lang w:val="en"/>
        </w:rPr>
      </w:pPr>
    </w:p>
    <w:p w14:paraId="736DAFFB" w14:textId="26B83E3D" w:rsidR="00E5012A" w:rsidRDefault="00AC22B3" w:rsidP="00A224DF">
      <w:pPr>
        <w:rPr>
          <w:rFonts w:cs="Arial"/>
          <w:lang w:val="en"/>
        </w:rPr>
      </w:pPr>
      <w:r>
        <w:rPr>
          <w:rFonts w:cs="Arial"/>
          <w:lang w:val="en"/>
        </w:rPr>
        <w:lastRenderedPageBreak/>
        <w:t xml:space="preserve">Table A1.4 in </w:t>
      </w:r>
      <w:r w:rsidRPr="00FB67BF">
        <w:rPr>
          <w:rFonts w:cs="Arial"/>
          <w:b/>
          <w:lang w:val="en"/>
        </w:rPr>
        <w:t>Appendix 1</w:t>
      </w:r>
      <w:r>
        <w:rPr>
          <w:rFonts w:cs="Arial"/>
          <w:lang w:val="en"/>
        </w:rPr>
        <w:t xml:space="preserve"> shows the contributors to dietary intakes of niacin equivalents for Australia and New Zealand from the latest national nutrition surveys. The main contributing food groups across both countries are meat and meat products and dishes, and cereals and cereal products and dishes.</w:t>
      </w:r>
    </w:p>
    <w:p w14:paraId="05387684" w14:textId="77777777" w:rsidR="006A6848" w:rsidRDefault="006A6848" w:rsidP="00A224DF">
      <w:pPr>
        <w:rPr>
          <w:rFonts w:cs="Arial"/>
          <w:lang w:val="en"/>
        </w:rPr>
      </w:pPr>
    </w:p>
    <w:p w14:paraId="52052BAA" w14:textId="6CC10B8C" w:rsidR="00E5012A" w:rsidRDefault="00E5012A" w:rsidP="00A224DF">
      <w:pPr>
        <w:rPr>
          <w:rFonts w:cs="Arial"/>
        </w:rPr>
      </w:pPr>
      <w:r w:rsidRPr="00E00F4A">
        <w:rPr>
          <w:rFonts w:cs="Arial"/>
        </w:rPr>
        <w:t xml:space="preserve">The mean absorption of niacin varies from 23-70%, depending on the food. The lowest absorption </w:t>
      </w:r>
      <w:r>
        <w:rPr>
          <w:rFonts w:cs="Arial"/>
        </w:rPr>
        <w:t xml:space="preserve">of niacin </w:t>
      </w:r>
      <w:r w:rsidRPr="00E00F4A">
        <w:rPr>
          <w:rFonts w:cs="Arial"/>
        </w:rPr>
        <w:t>is from cereals and highest from animal products (</w:t>
      </w:r>
      <w:r>
        <w:rPr>
          <w:rFonts w:cs="Arial"/>
        </w:rPr>
        <w:t>Institute of Medicine 1998</w:t>
      </w:r>
      <w:r w:rsidRPr="00E00F4A">
        <w:rPr>
          <w:rFonts w:cs="Arial"/>
        </w:rPr>
        <w:t xml:space="preserve">). </w:t>
      </w:r>
      <w:r w:rsidRPr="00E00F4A">
        <w:rPr>
          <w:rFonts w:cs="Arial"/>
          <w:lang w:val="en"/>
        </w:rPr>
        <w:t xml:space="preserve">In mature grains, most of the niacin is bound </w:t>
      </w:r>
      <w:r>
        <w:rPr>
          <w:rFonts w:cs="Arial"/>
          <w:lang w:val="en"/>
        </w:rPr>
        <w:t xml:space="preserve">to protein </w:t>
      </w:r>
      <w:r w:rsidRPr="00E00F4A">
        <w:rPr>
          <w:rFonts w:cs="Arial"/>
          <w:lang w:val="en"/>
        </w:rPr>
        <w:t>although alkali treatment of grain increases availability (Carter &amp; Carpenter 1982</w:t>
      </w:r>
      <w:r>
        <w:rPr>
          <w:rFonts w:cs="Arial"/>
          <w:lang w:val="en"/>
        </w:rPr>
        <w:t xml:space="preserve">; </w:t>
      </w:r>
      <w:r w:rsidRPr="00DF6322">
        <w:rPr>
          <w:rFonts w:cs="Arial"/>
          <w:lang w:val="en"/>
        </w:rPr>
        <w:t>Carpenter &amp; Lewin 1985</w:t>
      </w:r>
      <w:r w:rsidRPr="00E00F4A">
        <w:rPr>
          <w:rFonts w:cs="Arial"/>
          <w:lang w:val="en"/>
        </w:rPr>
        <w:t xml:space="preserve">). </w:t>
      </w:r>
      <w:r>
        <w:rPr>
          <w:rFonts w:cs="Arial"/>
          <w:lang w:val="en"/>
        </w:rPr>
        <w:t xml:space="preserve">Niacin added during enrichment or fortification is in the free form and is highly bioavailable </w:t>
      </w:r>
      <w:r w:rsidRPr="00E00F4A">
        <w:rPr>
          <w:rFonts w:cs="Arial"/>
        </w:rPr>
        <w:t>(</w:t>
      </w:r>
      <w:r>
        <w:rPr>
          <w:rFonts w:cs="Arial"/>
        </w:rPr>
        <w:t>Institute of Medicine 1998</w:t>
      </w:r>
      <w:r w:rsidRPr="00E00F4A">
        <w:rPr>
          <w:rFonts w:cs="Arial"/>
        </w:rPr>
        <w:t>).</w:t>
      </w:r>
      <w:r>
        <w:rPr>
          <w:rFonts w:cs="Arial"/>
          <w:lang w:val="en"/>
        </w:rPr>
        <w:t xml:space="preserve"> </w:t>
      </w:r>
      <w:r>
        <w:rPr>
          <w:rFonts w:cs="Arial"/>
        </w:rPr>
        <w:t xml:space="preserve">An aqueous solution </w:t>
      </w:r>
      <w:r w:rsidR="00BE64B6">
        <w:rPr>
          <w:rFonts w:cs="Arial"/>
        </w:rPr>
        <w:t xml:space="preserve">of nicotinic acid </w:t>
      </w:r>
      <w:r>
        <w:rPr>
          <w:rFonts w:cs="Arial"/>
        </w:rPr>
        <w:t>has been shown to be almost completely absorbed in the stomach and upper small intestine at doses of 3 to 4 grams (Bechgaard and Jespersen 1977).</w:t>
      </w:r>
    </w:p>
    <w:p w14:paraId="30FEF7B9" w14:textId="0D3211B0" w:rsidR="003E05B3" w:rsidRPr="003E05B3" w:rsidRDefault="003E05B3" w:rsidP="003E05B3">
      <w:pPr>
        <w:widowControl/>
        <w:rPr>
          <w:rFonts w:cs="Arial"/>
        </w:rPr>
      </w:pPr>
    </w:p>
    <w:p w14:paraId="7629927D" w14:textId="34073936" w:rsidR="00E5012A" w:rsidRDefault="003E05B3" w:rsidP="003E05B3">
      <w:pPr>
        <w:widowControl/>
        <w:rPr>
          <w:rFonts w:cs="Arial"/>
        </w:rPr>
      </w:pPr>
      <w:r w:rsidRPr="003E05B3">
        <w:rPr>
          <w:rFonts w:cs="Arial"/>
        </w:rPr>
        <w:t>Once niacin is absorbed</w:t>
      </w:r>
      <w:r w:rsidR="005D126C">
        <w:rPr>
          <w:rFonts w:cs="Arial"/>
        </w:rPr>
        <w:t xml:space="preserve"> and metabolised</w:t>
      </w:r>
      <w:r w:rsidRPr="003E05B3">
        <w:rPr>
          <w:rFonts w:cs="Arial"/>
        </w:rPr>
        <w:t xml:space="preserve">, niacin metabolites are excreted in the urine. Two major excretion products of niacin metabolism are MeNam and 2-PY (Institute of Medicine 1998). Small amounts of 4-PY are also excreted (Bender 2003; EFSA 2014). The amount of niacin metabolites that are excreted is determined by dietary intake of niacin and tryptophan (Goldsmith et al. 1952; 1955; Jacob et al. 1989). However, 2-PY excretion decreases to a greater extent in response to a low dietary intake, and a 2-PY </w:t>
      </w:r>
      <w:r w:rsidR="00272E11">
        <w:rPr>
          <w:rFonts w:cs="Arial"/>
        </w:rPr>
        <w:t xml:space="preserve">to 4-PY ratio of less than 1.0 </w:t>
      </w:r>
      <w:r w:rsidRPr="003E05B3">
        <w:rPr>
          <w:rFonts w:cs="Arial"/>
        </w:rPr>
        <w:t>is indicative of niacin deficiency.</w:t>
      </w:r>
    </w:p>
    <w:p w14:paraId="458E123D" w14:textId="44857918" w:rsidR="00CB50A3" w:rsidRDefault="00CB50A3" w:rsidP="00E5012A"/>
    <w:p w14:paraId="31AEF8C1" w14:textId="77777777" w:rsidR="00CB50A3" w:rsidRPr="00CE0DF6" w:rsidRDefault="00CB50A3" w:rsidP="00E5012A"/>
    <w:p w14:paraId="69A380B7" w14:textId="1C9B0312" w:rsidR="00E5012A" w:rsidRPr="0081663C" w:rsidRDefault="000913BB" w:rsidP="00CD7FFD">
      <w:pPr>
        <w:keepNext/>
        <w:keepLines/>
      </w:pPr>
      <w:r>
        <w:rPr>
          <w:noProof/>
          <w:lang w:eastAsia="en-GB" w:bidi="ar-SA"/>
        </w:rPr>
        <w:lastRenderedPageBreak/>
        <mc:AlternateContent>
          <mc:Choice Requires="wps">
            <w:drawing>
              <wp:anchor distT="0" distB="0" distL="114300" distR="114300" simplePos="0" relativeHeight="251658272" behindDoc="0" locked="0" layoutInCell="1" allowOverlap="1" wp14:anchorId="20F76871" wp14:editId="14D2C4D5">
                <wp:simplePos x="0" y="0"/>
                <wp:positionH relativeFrom="column">
                  <wp:posOffset>3481777</wp:posOffset>
                </wp:positionH>
                <wp:positionV relativeFrom="paragraph">
                  <wp:posOffset>3775075</wp:posOffset>
                </wp:positionV>
                <wp:extent cx="494665" cy="276225"/>
                <wp:effectExtent l="0" t="0" r="635" b="9525"/>
                <wp:wrapNone/>
                <wp:docPr id="38" name="Rectangle 38"/>
                <wp:cNvGraphicFramePr/>
                <a:graphic xmlns:a="http://schemas.openxmlformats.org/drawingml/2006/main">
                  <a:graphicData uri="http://schemas.microsoft.com/office/word/2010/wordprocessingShape">
                    <wps:wsp>
                      <wps:cNvSpPr/>
                      <wps:spPr>
                        <a:xfrm>
                          <a:off x="0" y="0"/>
                          <a:ext cx="494665" cy="276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9E051" id="Rectangle 38" o:spid="_x0000_s1026" style="position:absolute;margin-left:274.15pt;margin-top:297.25pt;width:38.95pt;height:21.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" fillcolor="white [3212]" stroked="f" strokeweight="2pt"/>
            </w:pict>
          </mc:Fallback>
        </mc:AlternateContent>
      </w:r>
      <w:r w:rsidR="00E86F7F">
        <w:rPr>
          <w:noProof/>
          <w:lang w:eastAsia="en-GB" w:bidi="ar-SA"/>
        </w:rPr>
        <mc:AlternateContent>
          <mc:Choice Requires="wps">
            <w:drawing>
              <wp:anchor distT="0" distB="0" distL="114300" distR="114300" simplePos="0" relativeHeight="251658288" behindDoc="0" locked="0" layoutInCell="1" allowOverlap="1" wp14:anchorId="08984256" wp14:editId="3D8E8E70">
                <wp:simplePos x="0" y="0"/>
                <wp:positionH relativeFrom="column">
                  <wp:posOffset>1842770</wp:posOffset>
                </wp:positionH>
                <wp:positionV relativeFrom="paragraph">
                  <wp:posOffset>4251629</wp:posOffset>
                </wp:positionV>
                <wp:extent cx="185530" cy="119269"/>
                <wp:effectExtent l="0" t="0" r="24130" b="14605"/>
                <wp:wrapNone/>
                <wp:docPr id="55" name="Rectangle 55"/>
                <wp:cNvGraphicFramePr/>
                <a:graphic xmlns:a="http://schemas.openxmlformats.org/drawingml/2006/main">
                  <a:graphicData uri="http://schemas.microsoft.com/office/word/2010/wordprocessingShape">
                    <wps:wsp>
                      <wps:cNvSpPr/>
                      <wps:spPr>
                        <a:xfrm>
                          <a:off x="0" y="0"/>
                          <a:ext cx="185530" cy="1192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EDE2E5" id="Rectangle 55" o:spid="_x0000_s1026" style="position:absolute;margin-left:145.1pt;margin-top:334.75pt;width:14.6pt;height:9.4pt;z-index:25165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" fillcolor="white [3212]" strokecolor="white [3212]" strokeweight="2pt"/>
            </w:pict>
          </mc:Fallback>
        </mc:AlternateContent>
      </w:r>
      <w:r w:rsidR="00E86F7F">
        <w:rPr>
          <w:noProof/>
          <w:lang w:eastAsia="en-GB" w:bidi="ar-SA"/>
        </w:rPr>
        <mc:AlternateContent>
          <mc:Choice Requires="wps">
            <w:drawing>
              <wp:anchor distT="0" distB="0" distL="114300" distR="114300" simplePos="0" relativeHeight="251658287" behindDoc="0" locked="0" layoutInCell="1" allowOverlap="1" wp14:anchorId="2F243F1B" wp14:editId="51F6C9C4">
                <wp:simplePos x="0" y="0"/>
                <wp:positionH relativeFrom="column">
                  <wp:posOffset>1941554</wp:posOffset>
                </wp:positionH>
                <wp:positionV relativeFrom="paragraph">
                  <wp:posOffset>4993613</wp:posOffset>
                </wp:positionV>
                <wp:extent cx="152400" cy="119270"/>
                <wp:effectExtent l="0" t="0" r="19050" b="14605"/>
                <wp:wrapNone/>
                <wp:docPr id="36" name="Rectangle 36"/>
                <wp:cNvGraphicFramePr/>
                <a:graphic xmlns:a="http://schemas.openxmlformats.org/drawingml/2006/main">
                  <a:graphicData uri="http://schemas.microsoft.com/office/word/2010/wordprocessingShape">
                    <wps:wsp>
                      <wps:cNvSpPr/>
                      <wps:spPr>
                        <a:xfrm>
                          <a:off x="0" y="0"/>
                          <a:ext cx="152400" cy="1192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94050" id="Rectangle 36" o:spid="_x0000_s1026" style="position:absolute;margin-left:152.9pt;margin-top:393.2pt;width:12pt;height:9.4pt;z-index:251658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" fillcolor="white [3212]" strokecolor="white [3212]" strokeweight="2pt"/>
            </w:pict>
          </mc:Fallback>
        </mc:AlternateContent>
      </w:r>
      <w:r w:rsidR="00E5012A">
        <w:rPr>
          <w:noProof/>
          <w:lang w:eastAsia="en-GB" w:bidi="ar-SA"/>
        </w:rPr>
        <mc:AlternateContent>
          <mc:Choice Requires="wps">
            <w:drawing>
              <wp:anchor distT="0" distB="0" distL="114300" distR="114300" simplePos="0" relativeHeight="251658241" behindDoc="0" locked="0" layoutInCell="1" allowOverlap="1" wp14:anchorId="2209028A" wp14:editId="4EB322BA">
                <wp:simplePos x="0" y="0"/>
                <wp:positionH relativeFrom="column">
                  <wp:posOffset>3453455</wp:posOffset>
                </wp:positionH>
                <wp:positionV relativeFrom="paragraph">
                  <wp:posOffset>3763849</wp:posOffset>
                </wp:positionV>
                <wp:extent cx="494951" cy="276359"/>
                <wp:effectExtent l="0" t="0" r="635" b="9525"/>
                <wp:wrapNone/>
                <wp:docPr id="4" name="Rectangle 4"/>
                <wp:cNvGraphicFramePr/>
                <a:graphic xmlns:a="http://schemas.openxmlformats.org/drawingml/2006/main">
                  <a:graphicData uri="http://schemas.microsoft.com/office/word/2010/wordprocessingShape">
                    <wps:wsp>
                      <wps:cNvSpPr/>
                      <wps:spPr>
                        <a:xfrm>
                          <a:off x="0" y="0"/>
                          <a:ext cx="494951" cy="2763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11196" id="Rectangle 4" o:spid="_x0000_s1026" style="position:absolute;margin-left:271.95pt;margin-top:296.35pt;width:38.95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46" behindDoc="0" locked="0" layoutInCell="1" allowOverlap="1" wp14:anchorId="4948150F" wp14:editId="6D5CB1F8">
                <wp:simplePos x="0" y="0"/>
                <wp:positionH relativeFrom="column">
                  <wp:posOffset>2278998</wp:posOffset>
                </wp:positionH>
                <wp:positionV relativeFrom="paragraph">
                  <wp:posOffset>1725324</wp:posOffset>
                </wp:positionV>
                <wp:extent cx="444266" cy="259715"/>
                <wp:effectExtent l="0" t="0" r="0" b="6985"/>
                <wp:wrapNone/>
                <wp:docPr id="9" name="Rectangle 9"/>
                <wp:cNvGraphicFramePr/>
                <a:graphic xmlns:a="http://schemas.openxmlformats.org/drawingml/2006/main">
                  <a:graphicData uri="http://schemas.microsoft.com/office/word/2010/wordprocessingShape">
                    <wps:wsp>
                      <wps:cNvSpPr/>
                      <wps:spPr>
                        <a:xfrm>
                          <a:off x="0" y="0"/>
                          <a:ext cx="444266" cy="2597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1610C" id="Rectangle 9" o:spid="_x0000_s1026" style="position:absolute;margin-left:179.45pt;margin-top:135.85pt;width:35pt;height:20.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51" behindDoc="0" locked="0" layoutInCell="1" allowOverlap="1" wp14:anchorId="182468EA" wp14:editId="47D98930">
                <wp:simplePos x="0" y="0"/>
                <wp:positionH relativeFrom="column">
                  <wp:posOffset>2983673</wp:posOffset>
                </wp:positionH>
                <wp:positionV relativeFrom="paragraph">
                  <wp:posOffset>1221985</wp:posOffset>
                </wp:positionV>
                <wp:extent cx="426988" cy="285115"/>
                <wp:effectExtent l="0" t="0" r="0" b="635"/>
                <wp:wrapNone/>
                <wp:docPr id="14" name="Rectangle 14"/>
                <wp:cNvGraphicFramePr/>
                <a:graphic xmlns:a="http://schemas.openxmlformats.org/drawingml/2006/main">
                  <a:graphicData uri="http://schemas.microsoft.com/office/word/2010/wordprocessingShape">
                    <wps:wsp>
                      <wps:cNvSpPr/>
                      <wps:spPr>
                        <a:xfrm>
                          <a:off x="0" y="0"/>
                          <a:ext cx="426988" cy="2851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DC8A8" id="Rectangle 14" o:spid="_x0000_s1026" style="position:absolute;margin-left:234.95pt;margin-top:96.2pt;width:33.6pt;height:22.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44" behindDoc="0" locked="0" layoutInCell="1" allowOverlap="1" wp14:anchorId="7F70C868" wp14:editId="24C5330C">
                <wp:simplePos x="0" y="0"/>
                <wp:positionH relativeFrom="column">
                  <wp:posOffset>4007131</wp:posOffset>
                </wp:positionH>
                <wp:positionV relativeFrom="paragraph">
                  <wp:posOffset>391475</wp:posOffset>
                </wp:positionV>
                <wp:extent cx="427122" cy="268447"/>
                <wp:effectExtent l="0" t="0" r="0" b="0"/>
                <wp:wrapNone/>
                <wp:docPr id="7" name="Rectangle 7"/>
                <wp:cNvGraphicFramePr/>
                <a:graphic xmlns:a="http://schemas.openxmlformats.org/drawingml/2006/main">
                  <a:graphicData uri="http://schemas.microsoft.com/office/word/2010/wordprocessingShape">
                    <wps:wsp>
                      <wps:cNvSpPr/>
                      <wps:spPr>
                        <a:xfrm>
                          <a:off x="0" y="0"/>
                          <a:ext cx="427122" cy="2684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3B195" id="Rectangle 7" o:spid="_x0000_s1026" style="position:absolute;margin-left:315.5pt;margin-top:30.8pt;width:33.65pt;height:21.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50" behindDoc="0" locked="0" layoutInCell="1" allowOverlap="1" wp14:anchorId="3C44112D" wp14:editId="1A53BF92">
                <wp:simplePos x="0" y="0"/>
                <wp:positionH relativeFrom="column">
                  <wp:posOffset>3914851</wp:posOffset>
                </wp:positionH>
                <wp:positionV relativeFrom="paragraph">
                  <wp:posOffset>1708546</wp:posOffset>
                </wp:positionV>
                <wp:extent cx="444616" cy="302004"/>
                <wp:effectExtent l="0" t="0" r="0" b="3175"/>
                <wp:wrapNone/>
                <wp:docPr id="13" name="Rectangle 13"/>
                <wp:cNvGraphicFramePr/>
                <a:graphic xmlns:a="http://schemas.openxmlformats.org/drawingml/2006/main">
                  <a:graphicData uri="http://schemas.microsoft.com/office/word/2010/wordprocessingShape">
                    <wps:wsp>
                      <wps:cNvSpPr/>
                      <wps:spPr>
                        <a:xfrm>
                          <a:off x="0" y="0"/>
                          <a:ext cx="444616" cy="3020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C6617" id="Rectangle 13" o:spid="_x0000_s1026" style="position:absolute;margin-left:308.25pt;margin-top:134.55pt;width:35pt;height:23.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49" behindDoc="0" locked="0" layoutInCell="1" allowOverlap="1" wp14:anchorId="19E8FDD0" wp14:editId="1A5DC9C4">
                <wp:simplePos x="0" y="0"/>
                <wp:positionH relativeFrom="column">
                  <wp:posOffset>3965184</wp:posOffset>
                </wp:positionH>
                <wp:positionV relativeFrom="paragraph">
                  <wp:posOffset>2589390</wp:posOffset>
                </wp:positionV>
                <wp:extent cx="461045" cy="293615"/>
                <wp:effectExtent l="0" t="0" r="0" b="0"/>
                <wp:wrapNone/>
                <wp:docPr id="12" name="Rectangle 12"/>
                <wp:cNvGraphicFramePr/>
                <a:graphic xmlns:a="http://schemas.openxmlformats.org/drawingml/2006/main">
                  <a:graphicData uri="http://schemas.microsoft.com/office/word/2010/wordprocessingShape">
                    <wps:wsp>
                      <wps:cNvSpPr/>
                      <wps:spPr>
                        <a:xfrm>
                          <a:off x="0" y="0"/>
                          <a:ext cx="461045" cy="2936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E6B0D" id="Rectangle 12" o:spid="_x0000_s1026" style="position:absolute;margin-left:312.2pt;margin-top:203.9pt;width:36.3pt;height:23.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42" behindDoc="0" locked="0" layoutInCell="1" allowOverlap="1" wp14:anchorId="1B121655" wp14:editId="1FEF8237">
                <wp:simplePos x="0" y="0"/>
                <wp:positionH relativeFrom="column">
                  <wp:posOffset>4317522</wp:posOffset>
                </wp:positionH>
                <wp:positionV relativeFrom="paragraph">
                  <wp:posOffset>3235342</wp:posOffset>
                </wp:positionV>
                <wp:extent cx="419100" cy="302004"/>
                <wp:effectExtent l="0" t="0" r="0" b="3175"/>
                <wp:wrapNone/>
                <wp:docPr id="5" name="Rectangle 5"/>
                <wp:cNvGraphicFramePr/>
                <a:graphic xmlns:a="http://schemas.openxmlformats.org/drawingml/2006/main">
                  <a:graphicData uri="http://schemas.microsoft.com/office/word/2010/wordprocessingShape">
                    <wps:wsp>
                      <wps:cNvSpPr/>
                      <wps:spPr>
                        <a:xfrm>
                          <a:off x="0" y="0"/>
                          <a:ext cx="419100" cy="3020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A15D5" id="Rectangle 5" o:spid="_x0000_s1026" style="position:absolute;margin-left:339.95pt;margin-top:254.75pt;width:33pt;height:2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52" behindDoc="0" locked="0" layoutInCell="1" allowOverlap="1" wp14:anchorId="42632876" wp14:editId="7113FE59">
                <wp:simplePos x="0" y="0"/>
                <wp:positionH relativeFrom="column">
                  <wp:posOffset>1029038</wp:posOffset>
                </wp:positionH>
                <wp:positionV relativeFrom="paragraph">
                  <wp:posOffset>1884714</wp:posOffset>
                </wp:positionV>
                <wp:extent cx="351790" cy="109057"/>
                <wp:effectExtent l="0" t="0" r="0" b="5715"/>
                <wp:wrapNone/>
                <wp:docPr id="15" name="Rectangle 15"/>
                <wp:cNvGraphicFramePr/>
                <a:graphic xmlns:a="http://schemas.openxmlformats.org/drawingml/2006/main">
                  <a:graphicData uri="http://schemas.microsoft.com/office/word/2010/wordprocessingShape">
                    <wps:wsp>
                      <wps:cNvSpPr/>
                      <wps:spPr>
                        <a:xfrm>
                          <a:off x="0" y="0"/>
                          <a:ext cx="351790" cy="1090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41956" id="Rectangle 15" o:spid="_x0000_s1026" style="position:absolute;margin-left:81.05pt;margin-top:148.4pt;width:27.7pt;height:8.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43" behindDoc="0" locked="0" layoutInCell="1" allowOverlap="1" wp14:anchorId="2711811D" wp14:editId="6592F4D9">
                <wp:simplePos x="0" y="0"/>
                <wp:positionH relativeFrom="column">
                  <wp:posOffset>198527</wp:posOffset>
                </wp:positionH>
                <wp:positionV relativeFrom="paragraph">
                  <wp:posOffset>2723614</wp:posOffset>
                </wp:positionV>
                <wp:extent cx="453005" cy="268448"/>
                <wp:effectExtent l="0" t="0" r="4445" b="0"/>
                <wp:wrapNone/>
                <wp:docPr id="6" name="Rectangle 6"/>
                <wp:cNvGraphicFramePr/>
                <a:graphic xmlns:a="http://schemas.openxmlformats.org/drawingml/2006/main">
                  <a:graphicData uri="http://schemas.microsoft.com/office/word/2010/wordprocessingShape">
                    <wps:wsp>
                      <wps:cNvSpPr/>
                      <wps:spPr>
                        <a:xfrm>
                          <a:off x="0" y="0"/>
                          <a:ext cx="453005" cy="26844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AFF1F" id="Rectangle 6" o:spid="_x0000_s1026" style="position:absolute;margin-left:15.65pt;margin-top:214.45pt;width:35.65pt;height:21.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47" behindDoc="0" locked="0" layoutInCell="1" allowOverlap="1" wp14:anchorId="51C81554" wp14:editId="03E711F5">
                <wp:simplePos x="0" y="0"/>
                <wp:positionH relativeFrom="column">
                  <wp:posOffset>1187986</wp:posOffset>
                </wp:positionH>
                <wp:positionV relativeFrom="paragraph">
                  <wp:posOffset>2606168</wp:posOffset>
                </wp:positionV>
                <wp:extent cx="436321" cy="293615"/>
                <wp:effectExtent l="0" t="0" r="1905" b="0"/>
                <wp:wrapNone/>
                <wp:docPr id="10" name="Rectangle 10"/>
                <wp:cNvGraphicFramePr/>
                <a:graphic xmlns:a="http://schemas.openxmlformats.org/drawingml/2006/main">
                  <a:graphicData uri="http://schemas.microsoft.com/office/word/2010/wordprocessingShape">
                    <wps:wsp>
                      <wps:cNvSpPr/>
                      <wps:spPr>
                        <a:xfrm>
                          <a:off x="0" y="0"/>
                          <a:ext cx="436321" cy="2936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20B19" id="Rectangle 10" o:spid="_x0000_s1026" style="position:absolute;margin-left:93.55pt;margin-top:205.2pt;width:34.35pt;height:23.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54" behindDoc="0" locked="0" layoutInCell="1" allowOverlap="1" wp14:anchorId="52A8A0B2" wp14:editId="2A29AB73">
                <wp:simplePos x="0" y="0"/>
                <wp:positionH relativeFrom="column">
                  <wp:posOffset>961926</wp:posOffset>
                </wp:positionH>
                <wp:positionV relativeFrom="paragraph">
                  <wp:posOffset>3453456</wp:posOffset>
                </wp:positionV>
                <wp:extent cx="226503" cy="75501"/>
                <wp:effectExtent l="0" t="0" r="2540" b="1270"/>
                <wp:wrapNone/>
                <wp:docPr id="19" name="Rectangle 19"/>
                <wp:cNvGraphicFramePr/>
                <a:graphic xmlns:a="http://schemas.openxmlformats.org/drawingml/2006/main">
                  <a:graphicData uri="http://schemas.microsoft.com/office/word/2010/wordprocessingShape">
                    <wps:wsp>
                      <wps:cNvSpPr/>
                      <wps:spPr>
                        <a:xfrm>
                          <a:off x="0" y="0"/>
                          <a:ext cx="226503" cy="75501"/>
                        </a:xfrm>
                        <a:prstGeom prst="rect">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788BB" id="Rectangle 19" o:spid="_x0000_s1026" style="position:absolute;margin-left:75.75pt;margin-top:271.95pt;width:17.85pt;height:5.9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53" behindDoc="0" locked="0" layoutInCell="1" allowOverlap="1" wp14:anchorId="1BA32C01" wp14:editId="5DDBD1F1">
                <wp:simplePos x="0" y="0"/>
                <wp:positionH relativeFrom="column">
                  <wp:posOffset>2404745</wp:posOffset>
                </wp:positionH>
                <wp:positionV relativeFrom="paragraph">
                  <wp:posOffset>3401695</wp:posOffset>
                </wp:positionV>
                <wp:extent cx="351790" cy="116840"/>
                <wp:effectExtent l="0" t="0" r="0" b="0"/>
                <wp:wrapNone/>
                <wp:docPr id="16" name="Rectangle 16"/>
                <wp:cNvGraphicFramePr/>
                <a:graphic xmlns:a="http://schemas.openxmlformats.org/drawingml/2006/main">
                  <a:graphicData uri="http://schemas.microsoft.com/office/word/2010/wordprocessingShape">
                    <wps:wsp>
                      <wps:cNvSpPr/>
                      <wps:spPr>
                        <a:xfrm>
                          <a:off x="0" y="0"/>
                          <a:ext cx="351790" cy="116840"/>
                        </a:xfrm>
                        <a:prstGeom prst="rect">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390DF" id="Rectangle 16" o:spid="_x0000_s1026" style="position:absolute;margin-left:189.35pt;margin-top:267.85pt;width:27.7pt;height:9.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45" behindDoc="0" locked="0" layoutInCell="1" allowOverlap="1" wp14:anchorId="5511F180" wp14:editId="2C6AAB5F">
                <wp:simplePos x="0" y="0"/>
                <wp:positionH relativeFrom="column">
                  <wp:posOffset>5367300</wp:posOffset>
                </wp:positionH>
                <wp:positionV relativeFrom="paragraph">
                  <wp:posOffset>2724808</wp:posOffset>
                </wp:positionV>
                <wp:extent cx="419450" cy="260059"/>
                <wp:effectExtent l="0" t="0" r="0" b="6985"/>
                <wp:wrapNone/>
                <wp:docPr id="8" name="Rectangle 8"/>
                <wp:cNvGraphicFramePr/>
                <a:graphic xmlns:a="http://schemas.openxmlformats.org/drawingml/2006/main">
                  <a:graphicData uri="http://schemas.microsoft.com/office/word/2010/wordprocessingShape">
                    <wps:wsp>
                      <wps:cNvSpPr/>
                      <wps:spPr>
                        <a:xfrm>
                          <a:off x="0" y="0"/>
                          <a:ext cx="419450" cy="2600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5B84D" id="Rectangle 8" o:spid="_x0000_s1026" style="position:absolute;margin-left:422.6pt;margin-top:214.55pt;width:33.05pt;height:2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48" behindDoc="0" locked="0" layoutInCell="1" allowOverlap="1" wp14:anchorId="133D1642" wp14:editId="298BA50A">
                <wp:simplePos x="0" y="0"/>
                <wp:positionH relativeFrom="column">
                  <wp:posOffset>4008032</wp:posOffset>
                </wp:positionH>
                <wp:positionV relativeFrom="paragraph">
                  <wp:posOffset>3773182</wp:posOffset>
                </wp:positionV>
                <wp:extent cx="419450" cy="260059"/>
                <wp:effectExtent l="0" t="0" r="0" b="6985"/>
                <wp:wrapNone/>
                <wp:docPr id="11" name="Rectangle 11"/>
                <wp:cNvGraphicFramePr/>
                <a:graphic xmlns:a="http://schemas.openxmlformats.org/drawingml/2006/main">
                  <a:graphicData uri="http://schemas.microsoft.com/office/word/2010/wordprocessingShape">
                    <wps:wsp>
                      <wps:cNvSpPr/>
                      <wps:spPr>
                        <a:xfrm>
                          <a:off x="0" y="0"/>
                          <a:ext cx="419450" cy="2600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0F5EC" id="Rectangle 11" o:spid="_x0000_s1026" style="position:absolute;margin-left:315.6pt;margin-top:297.1pt;width:33.05pt;height:2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40" behindDoc="0" locked="0" layoutInCell="1" allowOverlap="1" wp14:anchorId="6D4739E9" wp14:editId="60859235">
                <wp:simplePos x="0" y="0"/>
                <wp:positionH relativeFrom="column">
                  <wp:posOffset>4938308</wp:posOffset>
                </wp:positionH>
                <wp:positionV relativeFrom="paragraph">
                  <wp:posOffset>341141</wp:posOffset>
                </wp:positionV>
                <wp:extent cx="192946" cy="176168"/>
                <wp:effectExtent l="0" t="0" r="0" b="0"/>
                <wp:wrapNone/>
                <wp:docPr id="2" name="Rectangle 2"/>
                <wp:cNvGraphicFramePr/>
                <a:graphic xmlns:a="http://schemas.openxmlformats.org/drawingml/2006/main">
                  <a:graphicData uri="http://schemas.microsoft.com/office/word/2010/wordprocessingShape">
                    <wps:wsp>
                      <wps:cNvSpPr/>
                      <wps:spPr>
                        <a:xfrm>
                          <a:off x="0" y="0"/>
                          <a:ext cx="192946" cy="1761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A1512C" id="Rectangle 2" o:spid="_x0000_s1026" style="position:absolute;margin-left:388.85pt;margin-top:26.85pt;width:15.2pt;height:13.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70" behindDoc="0" locked="0" layoutInCell="1" allowOverlap="1" wp14:anchorId="7F46F11D" wp14:editId="5F9CDB05">
                <wp:simplePos x="0" y="0"/>
                <wp:positionH relativeFrom="column">
                  <wp:posOffset>2278998</wp:posOffset>
                </wp:positionH>
                <wp:positionV relativeFrom="paragraph">
                  <wp:posOffset>4292356</wp:posOffset>
                </wp:positionV>
                <wp:extent cx="276825" cy="117446"/>
                <wp:effectExtent l="0" t="0" r="9525" b="0"/>
                <wp:wrapNone/>
                <wp:docPr id="17" name="Rectangle 17"/>
                <wp:cNvGraphicFramePr/>
                <a:graphic xmlns:a="http://schemas.openxmlformats.org/drawingml/2006/main">
                  <a:graphicData uri="http://schemas.microsoft.com/office/word/2010/wordprocessingShape">
                    <wps:wsp>
                      <wps:cNvSpPr/>
                      <wps:spPr>
                        <a:xfrm>
                          <a:off x="0" y="0"/>
                          <a:ext cx="276825" cy="1174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5957C" id="Rectangle 17" o:spid="_x0000_s1026" style="position:absolute;margin-left:179.45pt;margin-top:338pt;width:21.8pt;height:9.2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56" behindDoc="0" locked="0" layoutInCell="1" allowOverlap="1" wp14:anchorId="1F8B47D4" wp14:editId="3D4F50E7">
                <wp:simplePos x="0" y="0"/>
                <wp:positionH relativeFrom="column">
                  <wp:posOffset>3453455</wp:posOffset>
                </wp:positionH>
                <wp:positionV relativeFrom="paragraph">
                  <wp:posOffset>3763849</wp:posOffset>
                </wp:positionV>
                <wp:extent cx="494951" cy="276359"/>
                <wp:effectExtent l="0" t="0" r="635" b="9525"/>
                <wp:wrapNone/>
                <wp:docPr id="18" name="Rectangle 18"/>
                <wp:cNvGraphicFramePr/>
                <a:graphic xmlns:a="http://schemas.openxmlformats.org/drawingml/2006/main">
                  <a:graphicData uri="http://schemas.microsoft.com/office/word/2010/wordprocessingShape">
                    <wps:wsp>
                      <wps:cNvSpPr/>
                      <wps:spPr>
                        <a:xfrm>
                          <a:off x="0" y="0"/>
                          <a:ext cx="494951" cy="2763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766E8" id="Rectangle 18" o:spid="_x0000_s1026" style="position:absolute;margin-left:271.95pt;margin-top:296.35pt;width:38.95pt;height:21.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61" behindDoc="0" locked="0" layoutInCell="1" allowOverlap="1" wp14:anchorId="26DF934C" wp14:editId="6A229B3B">
                <wp:simplePos x="0" y="0"/>
                <wp:positionH relativeFrom="column">
                  <wp:posOffset>2278998</wp:posOffset>
                </wp:positionH>
                <wp:positionV relativeFrom="paragraph">
                  <wp:posOffset>1725324</wp:posOffset>
                </wp:positionV>
                <wp:extent cx="444266" cy="259715"/>
                <wp:effectExtent l="0" t="0" r="0" b="6985"/>
                <wp:wrapNone/>
                <wp:docPr id="20" name="Rectangle 20"/>
                <wp:cNvGraphicFramePr/>
                <a:graphic xmlns:a="http://schemas.openxmlformats.org/drawingml/2006/main">
                  <a:graphicData uri="http://schemas.microsoft.com/office/word/2010/wordprocessingShape">
                    <wps:wsp>
                      <wps:cNvSpPr/>
                      <wps:spPr>
                        <a:xfrm>
                          <a:off x="0" y="0"/>
                          <a:ext cx="444266" cy="2597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C519C" id="Rectangle 20" o:spid="_x0000_s1026" style="position:absolute;margin-left:179.45pt;margin-top:135.85pt;width:35pt;height:20.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66" behindDoc="0" locked="0" layoutInCell="1" allowOverlap="1" wp14:anchorId="4CAA115B" wp14:editId="3368B19E">
                <wp:simplePos x="0" y="0"/>
                <wp:positionH relativeFrom="column">
                  <wp:posOffset>2983673</wp:posOffset>
                </wp:positionH>
                <wp:positionV relativeFrom="paragraph">
                  <wp:posOffset>1221985</wp:posOffset>
                </wp:positionV>
                <wp:extent cx="426988" cy="285115"/>
                <wp:effectExtent l="0" t="0" r="0" b="635"/>
                <wp:wrapNone/>
                <wp:docPr id="23" name="Rectangle 23"/>
                <wp:cNvGraphicFramePr/>
                <a:graphic xmlns:a="http://schemas.openxmlformats.org/drawingml/2006/main">
                  <a:graphicData uri="http://schemas.microsoft.com/office/word/2010/wordprocessingShape">
                    <wps:wsp>
                      <wps:cNvSpPr/>
                      <wps:spPr>
                        <a:xfrm>
                          <a:off x="0" y="0"/>
                          <a:ext cx="426988" cy="2851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027AA" id="Rectangle 23" o:spid="_x0000_s1026" style="position:absolute;margin-left:234.95pt;margin-top:96.2pt;width:33.6pt;height:22.4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59" behindDoc="0" locked="0" layoutInCell="1" allowOverlap="1" wp14:anchorId="5272C0E8" wp14:editId="175F5B33">
                <wp:simplePos x="0" y="0"/>
                <wp:positionH relativeFrom="column">
                  <wp:posOffset>4007131</wp:posOffset>
                </wp:positionH>
                <wp:positionV relativeFrom="paragraph">
                  <wp:posOffset>391475</wp:posOffset>
                </wp:positionV>
                <wp:extent cx="427122" cy="268447"/>
                <wp:effectExtent l="0" t="0" r="0" b="0"/>
                <wp:wrapNone/>
                <wp:docPr id="24" name="Rectangle 24"/>
                <wp:cNvGraphicFramePr/>
                <a:graphic xmlns:a="http://schemas.openxmlformats.org/drawingml/2006/main">
                  <a:graphicData uri="http://schemas.microsoft.com/office/word/2010/wordprocessingShape">
                    <wps:wsp>
                      <wps:cNvSpPr/>
                      <wps:spPr>
                        <a:xfrm>
                          <a:off x="0" y="0"/>
                          <a:ext cx="427122" cy="2684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5C982" id="Rectangle 24" o:spid="_x0000_s1026" style="position:absolute;margin-left:315.5pt;margin-top:30.8pt;width:33.65pt;height:21.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65" behindDoc="0" locked="0" layoutInCell="1" allowOverlap="1" wp14:anchorId="403A81FA" wp14:editId="1F99347B">
                <wp:simplePos x="0" y="0"/>
                <wp:positionH relativeFrom="column">
                  <wp:posOffset>3914851</wp:posOffset>
                </wp:positionH>
                <wp:positionV relativeFrom="paragraph">
                  <wp:posOffset>1708546</wp:posOffset>
                </wp:positionV>
                <wp:extent cx="444616" cy="302004"/>
                <wp:effectExtent l="0" t="0" r="0" b="3175"/>
                <wp:wrapNone/>
                <wp:docPr id="25" name="Rectangle 25"/>
                <wp:cNvGraphicFramePr/>
                <a:graphic xmlns:a="http://schemas.openxmlformats.org/drawingml/2006/main">
                  <a:graphicData uri="http://schemas.microsoft.com/office/word/2010/wordprocessingShape">
                    <wps:wsp>
                      <wps:cNvSpPr/>
                      <wps:spPr>
                        <a:xfrm>
                          <a:off x="0" y="0"/>
                          <a:ext cx="444616" cy="3020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1FC6F" id="Rectangle 25" o:spid="_x0000_s1026" style="position:absolute;margin-left:308.25pt;margin-top:134.55pt;width:35pt;height:23.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64" behindDoc="0" locked="0" layoutInCell="1" allowOverlap="1" wp14:anchorId="537F124C" wp14:editId="4CEDCF9D">
                <wp:simplePos x="0" y="0"/>
                <wp:positionH relativeFrom="column">
                  <wp:posOffset>3965184</wp:posOffset>
                </wp:positionH>
                <wp:positionV relativeFrom="paragraph">
                  <wp:posOffset>2589390</wp:posOffset>
                </wp:positionV>
                <wp:extent cx="461045" cy="293615"/>
                <wp:effectExtent l="0" t="0" r="0" b="0"/>
                <wp:wrapNone/>
                <wp:docPr id="26" name="Rectangle 26"/>
                <wp:cNvGraphicFramePr/>
                <a:graphic xmlns:a="http://schemas.openxmlformats.org/drawingml/2006/main">
                  <a:graphicData uri="http://schemas.microsoft.com/office/word/2010/wordprocessingShape">
                    <wps:wsp>
                      <wps:cNvSpPr/>
                      <wps:spPr>
                        <a:xfrm>
                          <a:off x="0" y="0"/>
                          <a:ext cx="461045" cy="2936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F93B8" id="Rectangle 26" o:spid="_x0000_s1026" style="position:absolute;margin-left:312.2pt;margin-top:203.9pt;width:36.3pt;height:23.1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57" behindDoc="0" locked="0" layoutInCell="1" allowOverlap="1" wp14:anchorId="5A42AA5A" wp14:editId="4A8E2340">
                <wp:simplePos x="0" y="0"/>
                <wp:positionH relativeFrom="column">
                  <wp:posOffset>4317522</wp:posOffset>
                </wp:positionH>
                <wp:positionV relativeFrom="paragraph">
                  <wp:posOffset>3235342</wp:posOffset>
                </wp:positionV>
                <wp:extent cx="419100" cy="302004"/>
                <wp:effectExtent l="0" t="0" r="0" b="3175"/>
                <wp:wrapNone/>
                <wp:docPr id="27" name="Rectangle 27"/>
                <wp:cNvGraphicFramePr/>
                <a:graphic xmlns:a="http://schemas.openxmlformats.org/drawingml/2006/main">
                  <a:graphicData uri="http://schemas.microsoft.com/office/word/2010/wordprocessingShape">
                    <wps:wsp>
                      <wps:cNvSpPr/>
                      <wps:spPr>
                        <a:xfrm>
                          <a:off x="0" y="0"/>
                          <a:ext cx="419100" cy="3020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1062D" id="Rectangle 27" o:spid="_x0000_s1026" style="position:absolute;margin-left:339.95pt;margin-top:254.75pt;width:33pt;height:23.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67" behindDoc="0" locked="0" layoutInCell="1" allowOverlap="1" wp14:anchorId="49EB1EF3" wp14:editId="5C0F1BCE">
                <wp:simplePos x="0" y="0"/>
                <wp:positionH relativeFrom="column">
                  <wp:posOffset>1029038</wp:posOffset>
                </wp:positionH>
                <wp:positionV relativeFrom="paragraph">
                  <wp:posOffset>1884714</wp:posOffset>
                </wp:positionV>
                <wp:extent cx="351790" cy="109057"/>
                <wp:effectExtent l="0" t="0" r="0" b="5715"/>
                <wp:wrapNone/>
                <wp:docPr id="28" name="Rectangle 28"/>
                <wp:cNvGraphicFramePr/>
                <a:graphic xmlns:a="http://schemas.openxmlformats.org/drawingml/2006/main">
                  <a:graphicData uri="http://schemas.microsoft.com/office/word/2010/wordprocessingShape">
                    <wps:wsp>
                      <wps:cNvSpPr/>
                      <wps:spPr>
                        <a:xfrm>
                          <a:off x="0" y="0"/>
                          <a:ext cx="351790" cy="1090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23849" id="Rectangle 28" o:spid="_x0000_s1026" style="position:absolute;margin-left:81.05pt;margin-top:148.4pt;width:27.7pt;height:8.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58" behindDoc="0" locked="0" layoutInCell="1" allowOverlap="1" wp14:anchorId="4AAA8B45" wp14:editId="0BADC351">
                <wp:simplePos x="0" y="0"/>
                <wp:positionH relativeFrom="column">
                  <wp:posOffset>198527</wp:posOffset>
                </wp:positionH>
                <wp:positionV relativeFrom="paragraph">
                  <wp:posOffset>2723614</wp:posOffset>
                </wp:positionV>
                <wp:extent cx="453005" cy="268448"/>
                <wp:effectExtent l="0" t="0" r="4445" b="0"/>
                <wp:wrapNone/>
                <wp:docPr id="29" name="Rectangle 29"/>
                <wp:cNvGraphicFramePr/>
                <a:graphic xmlns:a="http://schemas.openxmlformats.org/drawingml/2006/main">
                  <a:graphicData uri="http://schemas.microsoft.com/office/word/2010/wordprocessingShape">
                    <wps:wsp>
                      <wps:cNvSpPr/>
                      <wps:spPr>
                        <a:xfrm>
                          <a:off x="0" y="0"/>
                          <a:ext cx="453005" cy="26844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7F005" id="Rectangle 29" o:spid="_x0000_s1026" style="position:absolute;margin-left:15.65pt;margin-top:214.45pt;width:35.65pt;height:21.1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62" behindDoc="0" locked="0" layoutInCell="1" allowOverlap="1" wp14:anchorId="242AA776" wp14:editId="136713B7">
                <wp:simplePos x="0" y="0"/>
                <wp:positionH relativeFrom="column">
                  <wp:posOffset>1187986</wp:posOffset>
                </wp:positionH>
                <wp:positionV relativeFrom="paragraph">
                  <wp:posOffset>2606168</wp:posOffset>
                </wp:positionV>
                <wp:extent cx="436321" cy="293615"/>
                <wp:effectExtent l="0" t="0" r="1905" b="0"/>
                <wp:wrapNone/>
                <wp:docPr id="30" name="Rectangle 30"/>
                <wp:cNvGraphicFramePr/>
                <a:graphic xmlns:a="http://schemas.openxmlformats.org/drawingml/2006/main">
                  <a:graphicData uri="http://schemas.microsoft.com/office/word/2010/wordprocessingShape">
                    <wps:wsp>
                      <wps:cNvSpPr/>
                      <wps:spPr>
                        <a:xfrm>
                          <a:off x="0" y="0"/>
                          <a:ext cx="436321" cy="2936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0867F" id="Rectangle 30" o:spid="_x0000_s1026" style="position:absolute;margin-left:93.55pt;margin-top:205.2pt;width:34.35pt;height:23.1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69" behindDoc="0" locked="0" layoutInCell="1" allowOverlap="1" wp14:anchorId="746C0FA5" wp14:editId="70A127AC">
                <wp:simplePos x="0" y="0"/>
                <wp:positionH relativeFrom="column">
                  <wp:posOffset>961926</wp:posOffset>
                </wp:positionH>
                <wp:positionV relativeFrom="paragraph">
                  <wp:posOffset>3453456</wp:posOffset>
                </wp:positionV>
                <wp:extent cx="226503" cy="75501"/>
                <wp:effectExtent l="0" t="0" r="2540" b="1270"/>
                <wp:wrapNone/>
                <wp:docPr id="31" name="Rectangle 31"/>
                <wp:cNvGraphicFramePr/>
                <a:graphic xmlns:a="http://schemas.openxmlformats.org/drawingml/2006/main">
                  <a:graphicData uri="http://schemas.microsoft.com/office/word/2010/wordprocessingShape">
                    <wps:wsp>
                      <wps:cNvSpPr/>
                      <wps:spPr>
                        <a:xfrm>
                          <a:off x="0" y="0"/>
                          <a:ext cx="226503" cy="75501"/>
                        </a:xfrm>
                        <a:prstGeom prst="rect">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FCC02" id="Rectangle 31" o:spid="_x0000_s1026" style="position:absolute;margin-left:75.75pt;margin-top:271.95pt;width:17.85pt;height:5.9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68" behindDoc="0" locked="0" layoutInCell="1" allowOverlap="1" wp14:anchorId="717BDFB4" wp14:editId="3841DDB9">
                <wp:simplePos x="0" y="0"/>
                <wp:positionH relativeFrom="column">
                  <wp:posOffset>2404745</wp:posOffset>
                </wp:positionH>
                <wp:positionV relativeFrom="paragraph">
                  <wp:posOffset>3401695</wp:posOffset>
                </wp:positionV>
                <wp:extent cx="351790" cy="116840"/>
                <wp:effectExtent l="0" t="0" r="0" b="0"/>
                <wp:wrapNone/>
                <wp:docPr id="32" name="Rectangle 32"/>
                <wp:cNvGraphicFramePr/>
                <a:graphic xmlns:a="http://schemas.openxmlformats.org/drawingml/2006/main">
                  <a:graphicData uri="http://schemas.microsoft.com/office/word/2010/wordprocessingShape">
                    <wps:wsp>
                      <wps:cNvSpPr/>
                      <wps:spPr>
                        <a:xfrm>
                          <a:off x="0" y="0"/>
                          <a:ext cx="351790" cy="116840"/>
                        </a:xfrm>
                        <a:prstGeom prst="rect">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F815C" id="Rectangle 32" o:spid="_x0000_s1026" style="position:absolute;margin-left:189.35pt;margin-top:267.85pt;width:27.7pt;height:9.2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60" behindDoc="0" locked="0" layoutInCell="1" allowOverlap="1" wp14:anchorId="51E3DA3F" wp14:editId="2D388D23">
                <wp:simplePos x="0" y="0"/>
                <wp:positionH relativeFrom="column">
                  <wp:posOffset>5367300</wp:posOffset>
                </wp:positionH>
                <wp:positionV relativeFrom="paragraph">
                  <wp:posOffset>2724808</wp:posOffset>
                </wp:positionV>
                <wp:extent cx="419450" cy="260059"/>
                <wp:effectExtent l="0" t="0" r="0" b="6985"/>
                <wp:wrapNone/>
                <wp:docPr id="33" name="Rectangle 33"/>
                <wp:cNvGraphicFramePr/>
                <a:graphic xmlns:a="http://schemas.openxmlformats.org/drawingml/2006/main">
                  <a:graphicData uri="http://schemas.microsoft.com/office/word/2010/wordprocessingShape">
                    <wps:wsp>
                      <wps:cNvSpPr/>
                      <wps:spPr>
                        <a:xfrm>
                          <a:off x="0" y="0"/>
                          <a:ext cx="419450" cy="2600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022D9" id="Rectangle 33" o:spid="_x0000_s1026" style="position:absolute;margin-left:422.6pt;margin-top:214.55pt;width:33.05pt;height:20.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63" behindDoc="0" locked="0" layoutInCell="1" allowOverlap="1" wp14:anchorId="6D8B40EB" wp14:editId="124662F9">
                <wp:simplePos x="0" y="0"/>
                <wp:positionH relativeFrom="column">
                  <wp:posOffset>4008032</wp:posOffset>
                </wp:positionH>
                <wp:positionV relativeFrom="paragraph">
                  <wp:posOffset>3773182</wp:posOffset>
                </wp:positionV>
                <wp:extent cx="419450" cy="260059"/>
                <wp:effectExtent l="0" t="0" r="0" b="6985"/>
                <wp:wrapNone/>
                <wp:docPr id="34" name="Rectangle 34"/>
                <wp:cNvGraphicFramePr/>
                <a:graphic xmlns:a="http://schemas.openxmlformats.org/drawingml/2006/main">
                  <a:graphicData uri="http://schemas.microsoft.com/office/word/2010/wordprocessingShape">
                    <wps:wsp>
                      <wps:cNvSpPr/>
                      <wps:spPr>
                        <a:xfrm>
                          <a:off x="0" y="0"/>
                          <a:ext cx="419450" cy="2600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E01FC" id="Rectangle 34" o:spid="_x0000_s1026" style="position:absolute;margin-left:315.6pt;margin-top:297.1pt;width:33.05pt;height:20.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55" behindDoc="0" locked="0" layoutInCell="1" allowOverlap="1" wp14:anchorId="314F97A4" wp14:editId="5579365C">
                <wp:simplePos x="0" y="0"/>
                <wp:positionH relativeFrom="column">
                  <wp:posOffset>4938308</wp:posOffset>
                </wp:positionH>
                <wp:positionV relativeFrom="paragraph">
                  <wp:posOffset>341141</wp:posOffset>
                </wp:positionV>
                <wp:extent cx="192946" cy="176168"/>
                <wp:effectExtent l="0" t="0" r="0" b="0"/>
                <wp:wrapNone/>
                <wp:docPr id="35" name="Rectangle 35"/>
                <wp:cNvGraphicFramePr/>
                <a:graphic xmlns:a="http://schemas.openxmlformats.org/drawingml/2006/main">
                  <a:graphicData uri="http://schemas.microsoft.com/office/word/2010/wordprocessingShape">
                    <wps:wsp>
                      <wps:cNvSpPr/>
                      <wps:spPr>
                        <a:xfrm>
                          <a:off x="0" y="0"/>
                          <a:ext cx="192946" cy="1761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B8227" id="Rectangle 35" o:spid="_x0000_s1026" style="position:absolute;margin-left:388.85pt;margin-top:26.85pt;width:15.2pt;height:13.8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86" behindDoc="0" locked="0" layoutInCell="1" allowOverlap="1" wp14:anchorId="233A0173" wp14:editId="01D19286">
                <wp:simplePos x="0" y="0"/>
                <wp:positionH relativeFrom="column">
                  <wp:posOffset>2278998</wp:posOffset>
                </wp:positionH>
                <wp:positionV relativeFrom="paragraph">
                  <wp:posOffset>4292356</wp:posOffset>
                </wp:positionV>
                <wp:extent cx="276825" cy="117446"/>
                <wp:effectExtent l="0" t="0" r="9525" b="0"/>
                <wp:wrapNone/>
                <wp:docPr id="37" name="Rectangle 37"/>
                <wp:cNvGraphicFramePr/>
                <a:graphic xmlns:a="http://schemas.openxmlformats.org/drawingml/2006/main">
                  <a:graphicData uri="http://schemas.microsoft.com/office/word/2010/wordprocessingShape">
                    <wps:wsp>
                      <wps:cNvSpPr/>
                      <wps:spPr>
                        <a:xfrm>
                          <a:off x="0" y="0"/>
                          <a:ext cx="276825" cy="1174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6ED2B" id="Rectangle 37" o:spid="_x0000_s1026" style="position:absolute;margin-left:179.45pt;margin-top:338pt;width:21.8pt;height:9.2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77" behindDoc="0" locked="0" layoutInCell="1" allowOverlap="1" wp14:anchorId="00916556" wp14:editId="64E938E1">
                <wp:simplePos x="0" y="0"/>
                <wp:positionH relativeFrom="column">
                  <wp:posOffset>2278998</wp:posOffset>
                </wp:positionH>
                <wp:positionV relativeFrom="paragraph">
                  <wp:posOffset>1725324</wp:posOffset>
                </wp:positionV>
                <wp:extent cx="444266" cy="259715"/>
                <wp:effectExtent l="0" t="0" r="0" b="6985"/>
                <wp:wrapNone/>
                <wp:docPr id="39" name="Rectangle 39"/>
                <wp:cNvGraphicFramePr/>
                <a:graphic xmlns:a="http://schemas.openxmlformats.org/drawingml/2006/main">
                  <a:graphicData uri="http://schemas.microsoft.com/office/word/2010/wordprocessingShape">
                    <wps:wsp>
                      <wps:cNvSpPr/>
                      <wps:spPr>
                        <a:xfrm>
                          <a:off x="0" y="0"/>
                          <a:ext cx="444266" cy="2597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300A7" id="Rectangle 39" o:spid="_x0000_s1026" style="position:absolute;margin-left:179.45pt;margin-top:135.85pt;width:35pt;height:20.4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82" behindDoc="0" locked="0" layoutInCell="1" allowOverlap="1" wp14:anchorId="6238091F" wp14:editId="1AC2D975">
                <wp:simplePos x="0" y="0"/>
                <wp:positionH relativeFrom="column">
                  <wp:posOffset>2983673</wp:posOffset>
                </wp:positionH>
                <wp:positionV relativeFrom="paragraph">
                  <wp:posOffset>1221985</wp:posOffset>
                </wp:positionV>
                <wp:extent cx="426988" cy="285115"/>
                <wp:effectExtent l="0" t="0" r="0" b="635"/>
                <wp:wrapNone/>
                <wp:docPr id="40" name="Rectangle 40"/>
                <wp:cNvGraphicFramePr/>
                <a:graphic xmlns:a="http://schemas.openxmlformats.org/drawingml/2006/main">
                  <a:graphicData uri="http://schemas.microsoft.com/office/word/2010/wordprocessingShape">
                    <wps:wsp>
                      <wps:cNvSpPr/>
                      <wps:spPr>
                        <a:xfrm>
                          <a:off x="0" y="0"/>
                          <a:ext cx="426988" cy="2851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C25BB" id="Rectangle 40" o:spid="_x0000_s1026" style="position:absolute;margin-left:234.95pt;margin-top:96.2pt;width:33.6pt;height:22.4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75" behindDoc="0" locked="0" layoutInCell="1" allowOverlap="1" wp14:anchorId="401D2642" wp14:editId="39519A21">
                <wp:simplePos x="0" y="0"/>
                <wp:positionH relativeFrom="column">
                  <wp:posOffset>4007131</wp:posOffset>
                </wp:positionH>
                <wp:positionV relativeFrom="paragraph">
                  <wp:posOffset>391475</wp:posOffset>
                </wp:positionV>
                <wp:extent cx="427122" cy="268447"/>
                <wp:effectExtent l="0" t="0" r="0" b="0"/>
                <wp:wrapNone/>
                <wp:docPr id="41" name="Rectangle 41"/>
                <wp:cNvGraphicFramePr/>
                <a:graphic xmlns:a="http://schemas.openxmlformats.org/drawingml/2006/main">
                  <a:graphicData uri="http://schemas.microsoft.com/office/word/2010/wordprocessingShape">
                    <wps:wsp>
                      <wps:cNvSpPr/>
                      <wps:spPr>
                        <a:xfrm>
                          <a:off x="0" y="0"/>
                          <a:ext cx="427122" cy="2684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54C3B" id="Rectangle 41" o:spid="_x0000_s1026" style="position:absolute;margin-left:315.5pt;margin-top:30.8pt;width:33.65pt;height:21.1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81" behindDoc="0" locked="0" layoutInCell="1" allowOverlap="1" wp14:anchorId="0A92A9E6" wp14:editId="378CA217">
                <wp:simplePos x="0" y="0"/>
                <wp:positionH relativeFrom="column">
                  <wp:posOffset>3914851</wp:posOffset>
                </wp:positionH>
                <wp:positionV relativeFrom="paragraph">
                  <wp:posOffset>1708546</wp:posOffset>
                </wp:positionV>
                <wp:extent cx="444616" cy="302004"/>
                <wp:effectExtent l="0" t="0" r="0" b="3175"/>
                <wp:wrapNone/>
                <wp:docPr id="42" name="Rectangle 42"/>
                <wp:cNvGraphicFramePr/>
                <a:graphic xmlns:a="http://schemas.openxmlformats.org/drawingml/2006/main">
                  <a:graphicData uri="http://schemas.microsoft.com/office/word/2010/wordprocessingShape">
                    <wps:wsp>
                      <wps:cNvSpPr/>
                      <wps:spPr>
                        <a:xfrm>
                          <a:off x="0" y="0"/>
                          <a:ext cx="444616" cy="3020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359AF" id="Rectangle 42" o:spid="_x0000_s1026" style="position:absolute;margin-left:308.25pt;margin-top:134.55pt;width:35pt;height:23.8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80" behindDoc="0" locked="0" layoutInCell="1" allowOverlap="1" wp14:anchorId="2933156A" wp14:editId="27C93ACF">
                <wp:simplePos x="0" y="0"/>
                <wp:positionH relativeFrom="column">
                  <wp:posOffset>3965184</wp:posOffset>
                </wp:positionH>
                <wp:positionV relativeFrom="paragraph">
                  <wp:posOffset>2589390</wp:posOffset>
                </wp:positionV>
                <wp:extent cx="461045" cy="293615"/>
                <wp:effectExtent l="0" t="0" r="0" b="0"/>
                <wp:wrapNone/>
                <wp:docPr id="43" name="Rectangle 43"/>
                <wp:cNvGraphicFramePr/>
                <a:graphic xmlns:a="http://schemas.openxmlformats.org/drawingml/2006/main">
                  <a:graphicData uri="http://schemas.microsoft.com/office/word/2010/wordprocessingShape">
                    <wps:wsp>
                      <wps:cNvSpPr/>
                      <wps:spPr>
                        <a:xfrm>
                          <a:off x="0" y="0"/>
                          <a:ext cx="461045" cy="2936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4E8FF" id="Rectangle 43" o:spid="_x0000_s1026" style="position:absolute;margin-left:312.2pt;margin-top:203.9pt;width:36.3pt;height:23.1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73" behindDoc="0" locked="0" layoutInCell="1" allowOverlap="1" wp14:anchorId="6DE1CC9F" wp14:editId="0A73DD29">
                <wp:simplePos x="0" y="0"/>
                <wp:positionH relativeFrom="column">
                  <wp:posOffset>4317522</wp:posOffset>
                </wp:positionH>
                <wp:positionV relativeFrom="paragraph">
                  <wp:posOffset>3235342</wp:posOffset>
                </wp:positionV>
                <wp:extent cx="419100" cy="302004"/>
                <wp:effectExtent l="0" t="0" r="0" b="3175"/>
                <wp:wrapNone/>
                <wp:docPr id="44" name="Rectangle 44"/>
                <wp:cNvGraphicFramePr/>
                <a:graphic xmlns:a="http://schemas.openxmlformats.org/drawingml/2006/main">
                  <a:graphicData uri="http://schemas.microsoft.com/office/word/2010/wordprocessingShape">
                    <wps:wsp>
                      <wps:cNvSpPr/>
                      <wps:spPr>
                        <a:xfrm>
                          <a:off x="0" y="0"/>
                          <a:ext cx="419100" cy="3020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A172F" id="Rectangle 44" o:spid="_x0000_s1026" style="position:absolute;margin-left:339.95pt;margin-top:254.75pt;width:33pt;height:23.8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83" behindDoc="0" locked="0" layoutInCell="1" allowOverlap="1" wp14:anchorId="19F828DE" wp14:editId="60447E40">
                <wp:simplePos x="0" y="0"/>
                <wp:positionH relativeFrom="column">
                  <wp:posOffset>1029038</wp:posOffset>
                </wp:positionH>
                <wp:positionV relativeFrom="paragraph">
                  <wp:posOffset>1884714</wp:posOffset>
                </wp:positionV>
                <wp:extent cx="351790" cy="109057"/>
                <wp:effectExtent l="0" t="0" r="0" b="5715"/>
                <wp:wrapNone/>
                <wp:docPr id="45" name="Rectangle 45"/>
                <wp:cNvGraphicFramePr/>
                <a:graphic xmlns:a="http://schemas.openxmlformats.org/drawingml/2006/main">
                  <a:graphicData uri="http://schemas.microsoft.com/office/word/2010/wordprocessingShape">
                    <wps:wsp>
                      <wps:cNvSpPr/>
                      <wps:spPr>
                        <a:xfrm>
                          <a:off x="0" y="0"/>
                          <a:ext cx="351790" cy="1090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16EC6" id="Rectangle 45" o:spid="_x0000_s1026" style="position:absolute;margin-left:81.05pt;margin-top:148.4pt;width:27.7pt;height:8.6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74" behindDoc="0" locked="0" layoutInCell="1" allowOverlap="1" wp14:anchorId="3EAC4088" wp14:editId="71346EBB">
                <wp:simplePos x="0" y="0"/>
                <wp:positionH relativeFrom="column">
                  <wp:posOffset>198527</wp:posOffset>
                </wp:positionH>
                <wp:positionV relativeFrom="paragraph">
                  <wp:posOffset>2723614</wp:posOffset>
                </wp:positionV>
                <wp:extent cx="453005" cy="268448"/>
                <wp:effectExtent l="0" t="0" r="4445" b="0"/>
                <wp:wrapNone/>
                <wp:docPr id="46" name="Rectangle 46"/>
                <wp:cNvGraphicFramePr/>
                <a:graphic xmlns:a="http://schemas.openxmlformats.org/drawingml/2006/main">
                  <a:graphicData uri="http://schemas.microsoft.com/office/word/2010/wordprocessingShape">
                    <wps:wsp>
                      <wps:cNvSpPr/>
                      <wps:spPr>
                        <a:xfrm>
                          <a:off x="0" y="0"/>
                          <a:ext cx="453005" cy="26844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95A48" id="Rectangle 46" o:spid="_x0000_s1026" style="position:absolute;margin-left:15.65pt;margin-top:214.45pt;width:35.65pt;height:21.1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78" behindDoc="0" locked="0" layoutInCell="1" allowOverlap="1" wp14:anchorId="0388E729" wp14:editId="3618C0AC">
                <wp:simplePos x="0" y="0"/>
                <wp:positionH relativeFrom="column">
                  <wp:posOffset>1187986</wp:posOffset>
                </wp:positionH>
                <wp:positionV relativeFrom="paragraph">
                  <wp:posOffset>2606168</wp:posOffset>
                </wp:positionV>
                <wp:extent cx="436321" cy="293615"/>
                <wp:effectExtent l="0" t="0" r="1905" b="0"/>
                <wp:wrapNone/>
                <wp:docPr id="47" name="Rectangle 47"/>
                <wp:cNvGraphicFramePr/>
                <a:graphic xmlns:a="http://schemas.openxmlformats.org/drawingml/2006/main">
                  <a:graphicData uri="http://schemas.microsoft.com/office/word/2010/wordprocessingShape">
                    <wps:wsp>
                      <wps:cNvSpPr/>
                      <wps:spPr>
                        <a:xfrm>
                          <a:off x="0" y="0"/>
                          <a:ext cx="436321" cy="2936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37FE4" id="Rectangle 47" o:spid="_x0000_s1026" style="position:absolute;margin-left:93.55pt;margin-top:205.2pt;width:34.35pt;height:23.1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85" behindDoc="0" locked="0" layoutInCell="1" allowOverlap="1" wp14:anchorId="6EA469D6" wp14:editId="347D3167">
                <wp:simplePos x="0" y="0"/>
                <wp:positionH relativeFrom="column">
                  <wp:posOffset>961926</wp:posOffset>
                </wp:positionH>
                <wp:positionV relativeFrom="paragraph">
                  <wp:posOffset>3453456</wp:posOffset>
                </wp:positionV>
                <wp:extent cx="226503" cy="75501"/>
                <wp:effectExtent l="0" t="0" r="2540" b="1270"/>
                <wp:wrapNone/>
                <wp:docPr id="48" name="Rectangle 48"/>
                <wp:cNvGraphicFramePr/>
                <a:graphic xmlns:a="http://schemas.openxmlformats.org/drawingml/2006/main">
                  <a:graphicData uri="http://schemas.microsoft.com/office/word/2010/wordprocessingShape">
                    <wps:wsp>
                      <wps:cNvSpPr/>
                      <wps:spPr>
                        <a:xfrm>
                          <a:off x="0" y="0"/>
                          <a:ext cx="226503" cy="75501"/>
                        </a:xfrm>
                        <a:prstGeom prst="rect">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5D73A" id="Rectangle 48" o:spid="_x0000_s1026" style="position:absolute;margin-left:75.75pt;margin-top:271.95pt;width:17.85pt;height:5.9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84" behindDoc="0" locked="0" layoutInCell="1" allowOverlap="1" wp14:anchorId="41DCFD3B" wp14:editId="55EB9ED8">
                <wp:simplePos x="0" y="0"/>
                <wp:positionH relativeFrom="column">
                  <wp:posOffset>2404745</wp:posOffset>
                </wp:positionH>
                <wp:positionV relativeFrom="paragraph">
                  <wp:posOffset>3401695</wp:posOffset>
                </wp:positionV>
                <wp:extent cx="351790" cy="116840"/>
                <wp:effectExtent l="0" t="0" r="0" b="0"/>
                <wp:wrapNone/>
                <wp:docPr id="49" name="Rectangle 49"/>
                <wp:cNvGraphicFramePr/>
                <a:graphic xmlns:a="http://schemas.openxmlformats.org/drawingml/2006/main">
                  <a:graphicData uri="http://schemas.microsoft.com/office/word/2010/wordprocessingShape">
                    <wps:wsp>
                      <wps:cNvSpPr/>
                      <wps:spPr>
                        <a:xfrm>
                          <a:off x="0" y="0"/>
                          <a:ext cx="351790" cy="116840"/>
                        </a:xfrm>
                        <a:prstGeom prst="rect">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1E8CB" id="Rectangle 49" o:spid="_x0000_s1026" style="position:absolute;margin-left:189.35pt;margin-top:267.85pt;width:27.7pt;height:9.2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76" behindDoc="0" locked="0" layoutInCell="1" allowOverlap="1" wp14:anchorId="4B399936" wp14:editId="7BB79729">
                <wp:simplePos x="0" y="0"/>
                <wp:positionH relativeFrom="column">
                  <wp:posOffset>5367300</wp:posOffset>
                </wp:positionH>
                <wp:positionV relativeFrom="paragraph">
                  <wp:posOffset>2724808</wp:posOffset>
                </wp:positionV>
                <wp:extent cx="419450" cy="260059"/>
                <wp:effectExtent l="0" t="0" r="0" b="6985"/>
                <wp:wrapNone/>
                <wp:docPr id="50" name="Rectangle 50"/>
                <wp:cNvGraphicFramePr/>
                <a:graphic xmlns:a="http://schemas.openxmlformats.org/drawingml/2006/main">
                  <a:graphicData uri="http://schemas.microsoft.com/office/word/2010/wordprocessingShape">
                    <wps:wsp>
                      <wps:cNvSpPr/>
                      <wps:spPr>
                        <a:xfrm>
                          <a:off x="0" y="0"/>
                          <a:ext cx="419450" cy="2600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52D46" id="Rectangle 50" o:spid="_x0000_s1026" style="position:absolute;margin-left:422.6pt;margin-top:214.55pt;width:33.05pt;height:20.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79" behindDoc="0" locked="0" layoutInCell="1" allowOverlap="1" wp14:anchorId="4D2F0B56" wp14:editId="20D2BD6F">
                <wp:simplePos x="0" y="0"/>
                <wp:positionH relativeFrom="column">
                  <wp:posOffset>4008032</wp:posOffset>
                </wp:positionH>
                <wp:positionV relativeFrom="paragraph">
                  <wp:posOffset>3773182</wp:posOffset>
                </wp:positionV>
                <wp:extent cx="419450" cy="260059"/>
                <wp:effectExtent l="0" t="0" r="0" b="6985"/>
                <wp:wrapNone/>
                <wp:docPr id="51" name="Rectangle 51"/>
                <wp:cNvGraphicFramePr/>
                <a:graphic xmlns:a="http://schemas.openxmlformats.org/drawingml/2006/main">
                  <a:graphicData uri="http://schemas.microsoft.com/office/word/2010/wordprocessingShape">
                    <wps:wsp>
                      <wps:cNvSpPr/>
                      <wps:spPr>
                        <a:xfrm>
                          <a:off x="0" y="0"/>
                          <a:ext cx="419450" cy="26005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0ED6E" id="Rectangle 51" o:spid="_x0000_s1026" style="position:absolute;margin-left:315.6pt;margin-top:297.1pt;width:33.05pt;height:20.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" fillcolor="white [3212]" stroked="f" strokeweight="2pt"/>
            </w:pict>
          </mc:Fallback>
        </mc:AlternateContent>
      </w:r>
      <w:r w:rsidR="00E5012A">
        <w:rPr>
          <w:noProof/>
          <w:lang w:eastAsia="en-GB" w:bidi="ar-SA"/>
        </w:rPr>
        <mc:AlternateContent>
          <mc:Choice Requires="wps">
            <w:drawing>
              <wp:anchor distT="0" distB="0" distL="114300" distR="114300" simplePos="0" relativeHeight="251658271" behindDoc="0" locked="0" layoutInCell="1" allowOverlap="1" wp14:anchorId="4FBA00F9" wp14:editId="2DC42C65">
                <wp:simplePos x="0" y="0"/>
                <wp:positionH relativeFrom="column">
                  <wp:posOffset>4938308</wp:posOffset>
                </wp:positionH>
                <wp:positionV relativeFrom="paragraph">
                  <wp:posOffset>341141</wp:posOffset>
                </wp:positionV>
                <wp:extent cx="192946" cy="176168"/>
                <wp:effectExtent l="0" t="0" r="0" b="0"/>
                <wp:wrapNone/>
                <wp:docPr id="52" name="Rectangle 52"/>
                <wp:cNvGraphicFramePr/>
                <a:graphic xmlns:a="http://schemas.openxmlformats.org/drawingml/2006/main">
                  <a:graphicData uri="http://schemas.microsoft.com/office/word/2010/wordprocessingShape">
                    <wps:wsp>
                      <wps:cNvSpPr/>
                      <wps:spPr>
                        <a:xfrm>
                          <a:off x="0" y="0"/>
                          <a:ext cx="192946" cy="1761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137923" id="Rectangle 52" o:spid="_x0000_s1026" style="position:absolute;margin-left:388.85pt;margin-top:26.85pt;width:15.2pt;height:13.85pt;z-index:251658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" fillcolor="white [3212]" stroked="f" strokeweight="2pt"/>
            </w:pict>
          </mc:Fallback>
        </mc:AlternateContent>
      </w:r>
      <w:r w:rsidR="00E5012A">
        <w:rPr>
          <w:noProof/>
          <w:lang w:eastAsia="en-GB" w:bidi="ar-SA"/>
        </w:rPr>
        <w:drawing>
          <wp:inline distT="0" distB="0" distL="0" distR="0" wp14:anchorId="59E7F3A9" wp14:editId="327B737C">
            <wp:extent cx="5759450" cy="512699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5126990"/>
                    </a:xfrm>
                    <a:prstGeom prst="rect">
                      <a:avLst/>
                    </a:prstGeom>
                  </pic:spPr>
                </pic:pic>
              </a:graphicData>
            </a:graphic>
          </wp:inline>
        </w:drawing>
      </w:r>
    </w:p>
    <w:p w14:paraId="408DCE43" w14:textId="77777777" w:rsidR="00E5012A" w:rsidRPr="00036906" w:rsidRDefault="00E5012A" w:rsidP="00CD7FFD">
      <w:pPr>
        <w:keepNext/>
        <w:keepLines/>
      </w:pPr>
    </w:p>
    <w:p w14:paraId="10211821" w14:textId="1AA594D7" w:rsidR="00896C0B" w:rsidRPr="00600A86" w:rsidRDefault="00E5012A" w:rsidP="00CA5E4B">
      <w:pPr>
        <w:rPr>
          <w:lang w:val="en" w:bidi="ar-SA"/>
        </w:rPr>
      </w:pPr>
      <w:r w:rsidRPr="00BA6BAC">
        <w:rPr>
          <w:b/>
        </w:rPr>
        <w:t>Figure 1.</w:t>
      </w:r>
      <w:r w:rsidRPr="00BA6BAC">
        <w:t xml:space="preserve"> NAD+ metabol</w:t>
      </w:r>
      <w:r w:rsidR="0090641F" w:rsidRPr="00BA6BAC">
        <w:t>ism</w:t>
      </w:r>
      <w:r w:rsidRPr="00BA6BAC">
        <w:t xml:space="preserve">. NAD+ is synthesized by salvage of the vitamin precursors nicotinic acid (NA), nicotinamide (Nam) and nicotinamide riboside (NR), or from tryptophan in the de novo pathway </w:t>
      </w:r>
      <w:r w:rsidRPr="00BA6BAC">
        <w:rPr>
          <w:sz w:val="16"/>
        </w:rPr>
        <w:t xml:space="preserve">(reproduced from Trammell et al. 2016 under the Creative Commons Attribution 4.0 International Licence </w:t>
      </w:r>
      <w:hyperlink r:id="rId19" w:history="1">
        <w:r w:rsidRPr="00BA6BAC">
          <w:rPr>
            <w:sz w:val="16"/>
          </w:rPr>
          <w:t>http://creativecommons.org/licenses/by/4.0/</w:t>
        </w:r>
      </w:hyperlink>
      <w:r w:rsidRPr="00BA6BAC">
        <w:rPr>
          <w:sz w:val="16"/>
        </w:rPr>
        <w:t>)</w:t>
      </w:r>
    </w:p>
    <w:p w14:paraId="62F5C60A" w14:textId="1C4AA7C6" w:rsidR="00E5012A" w:rsidRPr="00CA5D21" w:rsidRDefault="00E5012A" w:rsidP="009A1E18">
      <w:pPr>
        <w:pStyle w:val="Heading2"/>
        <w:numPr>
          <w:ilvl w:val="1"/>
          <w:numId w:val="45"/>
        </w:numPr>
      </w:pPr>
      <w:bookmarkStart w:id="112" w:name="_Toc65509060"/>
      <w:bookmarkStart w:id="113" w:name="_Toc65578797"/>
      <w:bookmarkStart w:id="114" w:name="_Toc65587191"/>
      <w:bookmarkStart w:id="115" w:name="_Toc65587161"/>
      <w:bookmarkStart w:id="116" w:name="_Toc65682770"/>
      <w:bookmarkStart w:id="117" w:name="_Toc65764311"/>
      <w:bookmarkStart w:id="118" w:name="_Toc65764644"/>
      <w:bookmarkStart w:id="119" w:name="_Toc65841213"/>
      <w:bookmarkStart w:id="120" w:name="_Toc66458136"/>
      <w:bookmarkStart w:id="121" w:name="_Toc66451410"/>
      <w:bookmarkStart w:id="122" w:name="_Toc66458803"/>
      <w:bookmarkStart w:id="123" w:name="_Toc66458936"/>
      <w:bookmarkStart w:id="124" w:name="_Toc66461631"/>
      <w:bookmarkStart w:id="125" w:name="_Toc69899738"/>
      <w:bookmarkStart w:id="126" w:name="_Toc66443228"/>
      <w:bookmarkStart w:id="127" w:name="_Toc66436784"/>
      <w:r w:rsidRPr="00CA5D21">
        <w:t>Bioavailability of Nicotinamide Riboside</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CA5D21">
        <w:t xml:space="preserve"> </w:t>
      </w:r>
      <w:bookmarkEnd w:id="126"/>
      <w:bookmarkEnd w:id="127"/>
    </w:p>
    <w:p w14:paraId="55A11793" w14:textId="77777777" w:rsidR="005D3866" w:rsidRDefault="005D3866" w:rsidP="005D3866">
      <w:r>
        <w:t>Nicotinamide riboside (NR) is a more recently discovered precursor of NAD</w:t>
      </w:r>
      <w:r w:rsidRPr="005D3866">
        <w:rPr>
          <w:vertAlign w:val="superscript"/>
        </w:rPr>
        <w:t>+</w:t>
      </w:r>
      <w:r>
        <w:t xml:space="preserve"> that is found in cow’s milk and contributes to intracellular NAD</w:t>
      </w:r>
      <w:r w:rsidRPr="005D3866">
        <w:rPr>
          <w:vertAlign w:val="superscript"/>
        </w:rPr>
        <w:t>+</w:t>
      </w:r>
      <w:r>
        <w:t xml:space="preserve"> concentration (Bieganowski and Brenner 2004, Tempel et al. 2007, Bogan and Brenner 2008, Chi and Sauve 2013). NR is converted to NAD</w:t>
      </w:r>
      <w:r w:rsidRPr="005D3866">
        <w:rPr>
          <w:vertAlign w:val="superscript"/>
        </w:rPr>
        <w:t>+</w:t>
      </w:r>
      <w:r>
        <w:t xml:space="preserve"> via a separate three-step salvage pathway following cleavage of the ribose group to form Nam (Belenky et al. 2007) or via a two-step pathway, with the intermediate nicotinamide mononucleotide (NMN) (Bieganowski and Brenner 2004;</w:t>
      </w:r>
      <w:r w:rsidRPr="008E35ED">
        <w:t xml:space="preserve"> </w:t>
      </w:r>
      <w:r w:rsidRPr="005D3866">
        <w:rPr>
          <w:b/>
        </w:rPr>
        <w:t>Figure 1</w:t>
      </w:r>
      <w:r>
        <w:t xml:space="preserve">).  </w:t>
      </w:r>
    </w:p>
    <w:p w14:paraId="6741E26D" w14:textId="77777777" w:rsidR="005D3866" w:rsidRDefault="005D3866" w:rsidP="00784DF5">
      <w:pPr>
        <w:jc w:val="both"/>
        <w:rPr>
          <w:rFonts w:cs="Arial"/>
          <w:szCs w:val="21"/>
          <w:lang w:val="en"/>
        </w:rPr>
      </w:pPr>
    </w:p>
    <w:p w14:paraId="711C19D7" w14:textId="1A89070D" w:rsidR="00E5012A" w:rsidRPr="00163C09" w:rsidRDefault="00E5012A" w:rsidP="00784DF5">
      <w:pPr>
        <w:jc w:val="both"/>
        <w:rPr>
          <w:rFonts w:cs="Arial"/>
          <w:szCs w:val="21"/>
          <w:lang w:val="en"/>
        </w:rPr>
      </w:pPr>
      <w:r w:rsidRPr="003C0443">
        <w:rPr>
          <w:rFonts w:cs="Arial"/>
          <w:szCs w:val="21"/>
          <w:lang w:val="en"/>
        </w:rPr>
        <w:t xml:space="preserve">The Applicant provided </w:t>
      </w:r>
      <w:r>
        <w:rPr>
          <w:rFonts w:cs="Arial"/>
          <w:szCs w:val="21"/>
          <w:lang w:val="en"/>
        </w:rPr>
        <w:t xml:space="preserve">eight </w:t>
      </w:r>
      <w:r w:rsidRPr="003C0443">
        <w:rPr>
          <w:rFonts w:cs="Arial"/>
          <w:szCs w:val="21"/>
          <w:lang w:val="en"/>
        </w:rPr>
        <w:t xml:space="preserve">studies </w:t>
      </w:r>
      <w:r w:rsidR="00AD41A1">
        <w:rPr>
          <w:rFonts w:cs="Arial"/>
          <w:szCs w:val="21"/>
          <w:lang w:val="en"/>
        </w:rPr>
        <w:t>in support</w:t>
      </w:r>
      <w:r>
        <w:rPr>
          <w:rFonts w:cs="Arial"/>
          <w:szCs w:val="21"/>
          <w:lang w:val="en"/>
        </w:rPr>
        <w:t xml:space="preserve"> of NR</w:t>
      </w:r>
      <w:r w:rsidR="00BF1C79">
        <w:rPr>
          <w:rFonts w:cs="Arial"/>
          <w:szCs w:val="21"/>
          <w:lang w:val="en"/>
        </w:rPr>
        <w:t>C</w:t>
      </w:r>
      <w:r>
        <w:rPr>
          <w:rFonts w:cs="Arial"/>
          <w:szCs w:val="21"/>
          <w:lang w:val="en"/>
        </w:rPr>
        <w:t xml:space="preserve"> as a form of niacin, including published and unpublished studies; in some cases both published and unpublished papers for the same study were available (</w:t>
      </w:r>
      <w:r w:rsidRPr="00237DB5">
        <w:rPr>
          <w:rFonts w:cs="Arial"/>
          <w:szCs w:val="21"/>
          <w:lang w:val="en"/>
        </w:rPr>
        <w:t xml:space="preserve">Wilson 2015 Study No. 14NBHC and Trammell et al. 2016; Airhart et al. 2017; Avery 2017 Study No. AV151003; Guo 2018 Study No. 160312; Dollerup et al. 2018; Conze et al. 2019 and Schacter 2018 Study No. 15NRHC). </w:t>
      </w:r>
      <w:r>
        <w:rPr>
          <w:rFonts w:cs="Arial"/>
          <w:szCs w:val="21"/>
          <w:lang w:val="en"/>
        </w:rPr>
        <w:t xml:space="preserve">In addition, FSANZ identified </w:t>
      </w:r>
      <w:r w:rsidR="00543B9C">
        <w:rPr>
          <w:rFonts w:cs="Arial"/>
          <w:szCs w:val="21"/>
          <w:lang w:val="en"/>
        </w:rPr>
        <w:t>three</w:t>
      </w:r>
      <w:r>
        <w:rPr>
          <w:rFonts w:cs="Arial"/>
          <w:szCs w:val="21"/>
          <w:lang w:val="en"/>
        </w:rPr>
        <w:t xml:space="preserve"> additional relevant publication</w:t>
      </w:r>
      <w:r w:rsidR="00864249">
        <w:rPr>
          <w:rFonts w:cs="Arial"/>
          <w:szCs w:val="21"/>
          <w:lang w:val="en"/>
        </w:rPr>
        <w:t>s</w:t>
      </w:r>
      <w:r>
        <w:rPr>
          <w:rFonts w:cs="Arial"/>
          <w:szCs w:val="21"/>
          <w:lang w:val="en"/>
        </w:rPr>
        <w:t xml:space="preserve"> (</w:t>
      </w:r>
      <w:r w:rsidR="00543B9C">
        <w:rPr>
          <w:rFonts w:cs="Arial"/>
          <w:szCs w:val="21"/>
          <w:lang w:val="en"/>
        </w:rPr>
        <w:t xml:space="preserve">Ratajczak et al. 2016; Liu et al. 2018; </w:t>
      </w:r>
      <w:r>
        <w:rPr>
          <w:rFonts w:cs="Arial"/>
          <w:szCs w:val="21"/>
          <w:lang w:val="en"/>
        </w:rPr>
        <w:t xml:space="preserve">Martens </w:t>
      </w:r>
      <w:r w:rsidR="000F65B2">
        <w:rPr>
          <w:rFonts w:cs="Arial"/>
          <w:szCs w:val="21"/>
          <w:lang w:val="en"/>
        </w:rPr>
        <w:t>et al</w:t>
      </w:r>
      <w:r w:rsidR="00796E8D">
        <w:rPr>
          <w:rFonts w:cs="Arial"/>
          <w:szCs w:val="21"/>
          <w:lang w:val="en"/>
        </w:rPr>
        <w:t>.</w:t>
      </w:r>
      <w:r w:rsidR="000F65B2">
        <w:rPr>
          <w:rFonts w:cs="Arial"/>
          <w:szCs w:val="21"/>
          <w:lang w:val="en"/>
        </w:rPr>
        <w:t xml:space="preserve"> </w:t>
      </w:r>
      <w:r>
        <w:rPr>
          <w:rFonts w:cs="Arial"/>
          <w:szCs w:val="21"/>
          <w:lang w:val="en"/>
        </w:rPr>
        <w:t>2018).</w:t>
      </w:r>
    </w:p>
    <w:p w14:paraId="5E184DD5" w14:textId="1BD06334" w:rsidR="00E5012A" w:rsidRPr="00D53EA1" w:rsidRDefault="00CA5D21" w:rsidP="00CA5D21">
      <w:pPr>
        <w:pStyle w:val="Heading3"/>
        <w:ind w:left="851" w:hanging="851"/>
      </w:pPr>
      <w:bookmarkStart w:id="128" w:name="_Toc69899739"/>
      <w:bookmarkStart w:id="129" w:name="_Toc65509061"/>
      <w:bookmarkStart w:id="130" w:name="_Toc65578798"/>
      <w:bookmarkStart w:id="131" w:name="_Toc65587192"/>
      <w:bookmarkStart w:id="132" w:name="_Toc65587162"/>
      <w:bookmarkStart w:id="133" w:name="_Toc65682771"/>
      <w:bookmarkStart w:id="134" w:name="_Toc65764312"/>
      <w:bookmarkStart w:id="135" w:name="_Toc65764645"/>
      <w:bookmarkStart w:id="136" w:name="_Toc65841214"/>
      <w:bookmarkStart w:id="137" w:name="_Toc66443229"/>
      <w:bookmarkStart w:id="138" w:name="_Toc66436785"/>
      <w:bookmarkStart w:id="139" w:name="_Toc66458137"/>
      <w:bookmarkStart w:id="140" w:name="_Toc66451411"/>
      <w:bookmarkStart w:id="141" w:name="_Toc66458804"/>
      <w:bookmarkStart w:id="142" w:name="_Toc66458937"/>
      <w:bookmarkStart w:id="143" w:name="_Toc66461632"/>
      <w:r>
        <w:lastRenderedPageBreak/>
        <w:t>2.4</w:t>
      </w:r>
      <w:r w:rsidR="00F503C9">
        <w:t xml:space="preserve">.1  </w:t>
      </w:r>
      <w:r w:rsidR="00E5012A">
        <w:t>Hum</w:t>
      </w:r>
      <w:r w:rsidR="00E5012A" w:rsidRPr="00D53EA1">
        <w:t>an Studies</w:t>
      </w:r>
      <w:bookmarkEnd w:id="128"/>
      <w:r w:rsidR="00E5012A" w:rsidRPr="00D53EA1">
        <w:t xml:space="preserve"> </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5E844FEA" w14:textId="5BF98339" w:rsidR="00BF1C79" w:rsidRPr="00966350" w:rsidRDefault="00BF1C79" w:rsidP="00BF1C79">
      <w:pPr>
        <w:rPr>
          <w:i/>
        </w:rPr>
      </w:pPr>
      <w:r w:rsidRPr="00966350">
        <w:rPr>
          <w:i/>
        </w:rPr>
        <w:t xml:space="preserve">Open-label, non-randomised study of pharmacokinetics of NRC in healthy adults. </w:t>
      </w:r>
      <w:r w:rsidR="00E5012A" w:rsidRPr="00966350">
        <w:rPr>
          <w:i/>
        </w:rPr>
        <w:t>Airhart et al</w:t>
      </w:r>
      <w:r w:rsidR="00746015">
        <w:rPr>
          <w:i/>
        </w:rPr>
        <w:t>.</w:t>
      </w:r>
      <w:r w:rsidRPr="00966350">
        <w:rPr>
          <w:i/>
        </w:rPr>
        <w:t xml:space="preserve"> 2017. Regulatory status: Not GCP</w:t>
      </w:r>
      <w:r w:rsidR="00A05D2D">
        <w:rPr>
          <w:rStyle w:val="FootnoteReference"/>
          <w:i/>
        </w:rPr>
        <w:footnoteReference w:id="2"/>
      </w:r>
    </w:p>
    <w:p w14:paraId="08CC7B59" w14:textId="77777777" w:rsidR="00E5012A" w:rsidRDefault="00E5012A" w:rsidP="00E5012A">
      <w:pPr>
        <w:rPr>
          <w:b/>
        </w:rPr>
      </w:pPr>
      <w:r>
        <w:rPr>
          <w:b/>
        </w:rPr>
        <w:t xml:space="preserve"> </w:t>
      </w:r>
    </w:p>
    <w:p w14:paraId="27A4B92F" w14:textId="5EC2FE0D" w:rsidR="00E5012A" w:rsidRDefault="00E5012A" w:rsidP="00E5012A">
      <w:r>
        <w:t>A non-randomised, open-label pharmacokinetics study of eight healthy volunteers (6 female and 2 male aged 33 ± 8 years) was undertaken in which NR</w:t>
      </w:r>
      <w:r w:rsidR="00BF1C79">
        <w:t>C, manufactured by the applicant,</w:t>
      </w:r>
      <w:r>
        <w:t xml:space="preserve"> was self-administered orally</w:t>
      </w:r>
      <w:r w:rsidR="008065DD">
        <w:t xml:space="preserve"> as: a single dose of 250 mg</w:t>
      </w:r>
      <w:r>
        <w:t xml:space="preserve"> on Day 1 and 2, 250 mg twice daily on Day 3 and 4, 500 mg twice daily on Day 5 and 6, and 1000 mg twice daily on Day 7 and 8. On the morning of Day 9, subjects completed a 24 hour pharmacokinetic study after receiving 1000 mg NR</w:t>
      </w:r>
      <w:r w:rsidR="00BF1C79">
        <w:t>C</w:t>
      </w:r>
      <w:r>
        <w:t>. NR</w:t>
      </w:r>
      <w:r w:rsidR="00600A86">
        <w:t xml:space="preserve"> </w:t>
      </w:r>
      <w:r>
        <w:t>and NAD</w:t>
      </w:r>
      <w:r w:rsidRPr="00924151">
        <w:rPr>
          <w:vertAlign w:val="superscript"/>
        </w:rPr>
        <w:t>+</w:t>
      </w:r>
      <w:r>
        <w:t xml:space="preserve"> concentrations were determined in blood from samples drawn on Day 1 and on Day 9 at 0.5, 1, 2, 3, 4, 6, 8, 12, 16 and 24 h. During the 24 hour pharmacokinetic</w:t>
      </w:r>
      <w:r w:rsidR="00DE45FD">
        <w:t xml:space="preserve"> standardised</w:t>
      </w:r>
      <w:r>
        <w:t xml:space="preserve"> study meals without dairy products (a source of tryptophan) were provided. Paired Student’s t tests were used to compare baseline and Day 9 average concentration at steady state values, baseline and pre-final dose concentrations and baseline and peak concentrations for NR and NAD</w:t>
      </w:r>
      <w:r w:rsidRPr="00924151">
        <w:rPr>
          <w:vertAlign w:val="superscript"/>
        </w:rPr>
        <w:t>+</w:t>
      </w:r>
      <w:r>
        <w:t xml:space="preserve">. </w:t>
      </w:r>
    </w:p>
    <w:p w14:paraId="75610E39" w14:textId="77777777" w:rsidR="00E5012A" w:rsidRDefault="00E5012A" w:rsidP="00E5012A"/>
    <w:p w14:paraId="276B8BDB" w14:textId="5909FB44" w:rsidR="00E5012A" w:rsidRDefault="00E5012A" w:rsidP="00E5012A">
      <w:r>
        <w:t xml:space="preserve">NR was detected in </w:t>
      </w:r>
      <w:r w:rsidR="00DE45FD">
        <w:t xml:space="preserve">whole </w:t>
      </w:r>
      <w:r>
        <w:t xml:space="preserve">blood samples collected prior to treatment on Day 1, varying by 2.1 fold between subjects from 0.016 to 0.034 </w:t>
      </w:r>
      <w:r>
        <w:rPr>
          <w:rFonts w:cs="Arial"/>
        </w:rPr>
        <w:t>µ</w:t>
      </w:r>
      <w:r>
        <w:t xml:space="preserve">mol/L. Seven subjects had an increase in </w:t>
      </w:r>
      <w:r w:rsidR="00DE45FD">
        <w:t xml:space="preserve">whole </w:t>
      </w:r>
      <w:r>
        <w:t xml:space="preserve">blood NR concentration from baseline to Day 9, with levels ranging from -10% to +127%. Following the Day 9 dose, </w:t>
      </w:r>
      <w:r w:rsidR="00E473BA">
        <w:t>m</w:t>
      </w:r>
      <w:r w:rsidR="00CC5036">
        <w:t xml:space="preserve">aximum </w:t>
      </w:r>
      <w:r w:rsidR="00DE45FD">
        <w:t xml:space="preserve">whole </w:t>
      </w:r>
      <w:r>
        <w:t>blood NR concentration</w:t>
      </w:r>
      <w:r w:rsidR="00CC5036">
        <w:t>s</w:t>
      </w:r>
      <w:r>
        <w:t xml:space="preserve"> </w:t>
      </w:r>
      <w:r w:rsidR="00CC5036">
        <w:t>(C</w:t>
      </w:r>
      <w:r w:rsidR="00CC5036" w:rsidRPr="00E473BA">
        <w:rPr>
          <w:vertAlign w:val="subscript"/>
        </w:rPr>
        <w:t>max</w:t>
      </w:r>
      <w:r w:rsidR="00CC5036">
        <w:t xml:space="preserve">) were observed </w:t>
      </w:r>
      <w:r>
        <w:t>at 3 hours</w:t>
      </w:r>
      <w:r w:rsidR="001D6AA8">
        <w:t xml:space="preserve"> post-dose</w:t>
      </w:r>
      <w:r w:rsidR="00CC5036">
        <w:t xml:space="preserve"> in four participants</w:t>
      </w:r>
      <w:r>
        <w:t xml:space="preserve">, with </w:t>
      </w:r>
      <w:r w:rsidR="00E473BA">
        <w:t xml:space="preserve">negligible </w:t>
      </w:r>
      <w:r>
        <w:t>changes observed in NR levels in the other four participants.</w:t>
      </w:r>
      <w:r w:rsidR="00C30053" w:rsidRPr="00C30053">
        <w:t xml:space="preserve"> </w:t>
      </w:r>
      <w:r w:rsidR="00C30053" w:rsidRPr="00966350">
        <w:t>F</w:t>
      </w:r>
      <w:r w:rsidR="00C30053">
        <w:t>or</w:t>
      </w:r>
      <w:r w:rsidR="00C30053" w:rsidRPr="00966350">
        <w:t xml:space="preserve"> </w:t>
      </w:r>
      <w:r w:rsidR="001D6AA8">
        <w:t>the four</w:t>
      </w:r>
      <w:r w:rsidR="00C30053" w:rsidRPr="00966350">
        <w:t xml:space="preserve"> subjects who exhibited a distinct C</w:t>
      </w:r>
      <w:r w:rsidR="00C30053" w:rsidRPr="00966350">
        <w:rPr>
          <w:vertAlign w:val="subscript"/>
        </w:rPr>
        <w:t>max</w:t>
      </w:r>
      <w:r w:rsidR="00C30053" w:rsidRPr="00966350">
        <w:t xml:space="preserve">, a first-order elimination rate constant of 0.26 </w:t>
      </w:r>
      <w:r w:rsidR="00C30053" w:rsidRPr="00966350">
        <w:rPr>
          <w:rFonts w:cs="Arial"/>
        </w:rPr>
        <w:t>±</w:t>
      </w:r>
      <w:r w:rsidR="00C30053" w:rsidRPr="00966350">
        <w:t xml:space="preserve"> 0.04 h</w:t>
      </w:r>
      <w:r w:rsidR="00C30053" w:rsidRPr="00966350">
        <w:rPr>
          <w:vertAlign w:val="superscript"/>
        </w:rPr>
        <w:t>-1</w:t>
      </w:r>
      <w:r w:rsidR="00C30053" w:rsidRPr="00966350">
        <w:t xml:space="preserve"> and a half-life of 2.7 h were calculated.</w:t>
      </w:r>
    </w:p>
    <w:p w14:paraId="63E120CE" w14:textId="77777777" w:rsidR="00E5012A" w:rsidRDefault="00E5012A" w:rsidP="00E5012A"/>
    <w:p w14:paraId="4EB46D48" w14:textId="594E433E" w:rsidR="00E5012A" w:rsidRDefault="00E5012A" w:rsidP="00E5012A">
      <w:r>
        <w:t xml:space="preserve">Mean </w:t>
      </w:r>
      <w:r w:rsidR="001E7D0E">
        <w:t xml:space="preserve">fasting </w:t>
      </w:r>
      <w:r>
        <w:t>NAD</w:t>
      </w:r>
      <w:r w:rsidRPr="00E22667">
        <w:rPr>
          <w:vertAlign w:val="superscript"/>
        </w:rPr>
        <w:t>+</w:t>
      </w:r>
      <w:r>
        <w:t xml:space="preserve"> concentrations measured at baseline were 27 ± 6 </w:t>
      </w:r>
      <w:r>
        <w:rPr>
          <w:rFonts w:cs="Arial"/>
        </w:rPr>
        <w:t>µ</w:t>
      </w:r>
      <w:r>
        <w:t>mol/L, NADH was not detected and NMN was detected at or just above the lower limit of quantification. NAD</w:t>
      </w:r>
      <w:r w:rsidRPr="00E22667">
        <w:rPr>
          <w:vertAlign w:val="superscript"/>
        </w:rPr>
        <w:t>+</w:t>
      </w:r>
      <w:r>
        <w:t xml:space="preserve"> concentrations were higher compared to baseline at Day 9 in all subjects, with the average steady state concentration on average 2-fold higher than baseline (1.34 to 2.66 fold higher), with a mean increase of 26.7 µmol/L (p = 0.001). Changes in </w:t>
      </w:r>
      <w:r w:rsidR="00DE45FD">
        <w:t xml:space="preserve">whole </w:t>
      </w:r>
      <w:r>
        <w:t>blood NR and NAD</w:t>
      </w:r>
      <w:r w:rsidRPr="00E22667">
        <w:rPr>
          <w:vertAlign w:val="superscript"/>
        </w:rPr>
        <w:t>+</w:t>
      </w:r>
      <w:r>
        <w:t xml:space="preserve"> concentrations were correlated highly across the 8 subjects, with the Pearson correlation coefficient of 0.85 (R</w:t>
      </w:r>
      <w:r w:rsidRPr="00772121">
        <w:rPr>
          <w:vertAlign w:val="superscript"/>
        </w:rPr>
        <w:t xml:space="preserve">2 </w:t>
      </w:r>
      <w:r>
        <w:t>= 0.72, p = 0.008).</w:t>
      </w:r>
    </w:p>
    <w:p w14:paraId="7AD132F4" w14:textId="53C475EB" w:rsidR="00E5012A" w:rsidRDefault="00E5012A" w:rsidP="00E5012A">
      <w:pPr>
        <w:tabs>
          <w:tab w:val="left" w:pos="5369"/>
        </w:tabs>
      </w:pPr>
    </w:p>
    <w:p w14:paraId="469CA5A3" w14:textId="4822114C" w:rsidR="00E5012A" w:rsidRDefault="00E5012A" w:rsidP="00E5012A">
      <w:r>
        <w:t>The author</w:t>
      </w:r>
      <w:r w:rsidR="00C30053">
        <w:t>s</w:t>
      </w:r>
      <w:r>
        <w:t xml:space="preserve"> noted the variation in the bioavailability of a 1000 mg dose of NR among individuals, with only half of participants observing an increase in NR levels of 100% or more. The author suggests several possible reasons for this including the instability of NR in the blood, degradation of NR in the </w:t>
      </w:r>
      <w:r w:rsidR="00C30053">
        <w:t xml:space="preserve">gastrointestinal tract </w:t>
      </w:r>
      <w:r>
        <w:t>to nicotinamide and following absorption, metabolism to NMN, and conversion to NAD</w:t>
      </w:r>
      <w:r w:rsidRPr="00E22667">
        <w:rPr>
          <w:vertAlign w:val="superscript"/>
        </w:rPr>
        <w:t>+</w:t>
      </w:r>
      <w:r>
        <w:t xml:space="preserve"> or NR. The author</w:t>
      </w:r>
      <w:r w:rsidR="00C30053">
        <w:t>s</w:t>
      </w:r>
      <w:r>
        <w:t xml:space="preserve"> suggest</w:t>
      </w:r>
      <w:r w:rsidR="00C30053">
        <w:t>ed</w:t>
      </w:r>
      <w:r>
        <w:t xml:space="preserve"> that further study of metabolism of NR would be required. </w:t>
      </w:r>
    </w:p>
    <w:p w14:paraId="7A5C6F15" w14:textId="77777777" w:rsidR="00C30053" w:rsidRDefault="00C30053" w:rsidP="00E5012A"/>
    <w:p w14:paraId="58CAAB3B" w14:textId="4F4D7936" w:rsidR="00C30053" w:rsidRPr="00B10EFE" w:rsidRDefault="00C30053" w:rsidP="00C30053">
      <w:pPr>
        <w:rPr>
          <w:i/>
        </w:rPr>
      </w:pPr>
      <w:r>
        <w:rPr>
          <w:i/>
        </w:rPr>
        <w:t>6-week</w:t>
      </w:r>
      <w:r w:rsidRPr="00B10EFE">
        <w:rPr>
          <w:i/>
        </w:rPr>
        <w:t xml:space="preserve"> </w:t>
      </w:r>
      <w:r>
        <w:rPr>
          <w:i/>
        </w:rPr>
        <w:t>NRC</w:t>
      </w:r>
      <w:r w:rsidRPr="00B10EFE">
        <w:rPr>
          <w:i/>
        </w:rPr>
        <w:t xml:space="preserve"> supplementation study, with randomised double-blind crossover design, in </w:t>
      </w:r>
      <w:r>
        <w:rPr>
          <w:i/>
        </w:rPr>
        <w:t>middle-aged and older adults</w:t>
      </w:r>
      <w:r w:rsidRPr="00B10EFE">
        <w:rPr>
          <w:i/>
        </w:rPr>
        <w:t xml:space="preserve"> </w:t>
      </w:r>
      <w:r w:rsidRPr="007F292F">
        <w:rPr>
          <w:i/>
        </w:rPr>
        <w:t>(Martens et al</w:t>
      </w:r>
      <w:r w:rsidR="00CA0EBC">
        <w:rPr>
          <w:i/>
        </w:rPr>
        <w:t>.</w:t>
      </w:r>
      <w:r w:rsidRPr="007F292F">
        <w:rPr>
          <w:i/>
        </w:rPr>
        <w:t xml:space="preserve"> 2018).</w:t>
      </w:r>
      <w:r w:rsidRPr="00B10EFE">
        <w:rPr>
          <w:i/>
        </w:rPr>
        <w:t xml:space="preserve"> Regulatory status: Not GLP</w:t>
      </w:r>
      <w:r w:rsidR="005D0F40">
        <w:rPr>
          <w:rStyle w:val="FootnoteReference"/>
          <w:i/>
        </w:rPr>
        <w:footnoteReference w:id="3"/>
      </w:r>
      <w:r w:rsidRPr="00B10EFE">
        <w:rPr>
          <w:i/>
        </w:rPr>
        <w:t xml:space="preserve"> or GCP. </w:t>
      </w:r>
    </w:p>
    <w:p w14:paraId="23E0F871" w14:textId="77777777" w:rsidR="00E5012A" w:rsidRPr="00934BF5" w:rsidRDefault="00E5012A" w:rsidP="00E5012A">
      <w:pPr>
        <w:rPr>
          <w:b/>
        </w:rPr>
      </w:pPr>
    </w:p>
    <w:p w14:paraId="08A7C29F" w14:textId="4FD4A70B" w:rsidR="00E5012A" w:rsidRPr="00805A8F" w:rsidRDefault="00E5012A" w:rsidP="00E5012A">
      <w:r>
        <w:t>A randomised, placebo-controlled, crossover trial of NR</w:t>
      </w:r>
      <w:r w:rsidR="00C30053">
        <w:t>C</w:t>
      </w:r>
      <w:r>
        <w:t xml:space="preserve"> supplementation (500 mg </w:t>
      </w:r>
      <w:r>
        <w:lastRenderedPageBreak/>
        <w:t>NR</w:t>
      </w:r>
      <w:r w:rsidR="00C30053">
        <w:t>C</w:t>
      </w:r>
      <w:r>
        <w:t xml:space="preserve"> twice daily or placebo) was undertaken for six weeks to evaluate the tolerability and efficacy for elevating NAD</w:t>
      </w:r>
      <w:r w:rsidRPr="00C30C06">
        <w:rPr>
          <w:vertAlign w:val="superscript"/>
        </w:rPr>
        <w:t>+</w:t>
      </w:r>
      <w:r>
        <w:t xml:space="preserve"> metabolite levels in healthy women and men. Thirty participants aged 55-79 with a mean BMI of 24 </w:t>
      </w:r>
      <w:r>
        <w:rPr>
          <w:rFonts w:cs="Arial"/>
        </w:rPr>
        <w:t>±</w:t>
      </w:r>
      <w:r>
        <w:t xml:space="preserve"> 4 kg/m</w:t>
      </w:r>
      <w:r w:rsidRPr="00D51D7F">
        <w:rPr>
          <w:vertAlign w:val="superscript"/>
        </w:rPr>
        <w:t>2</w:t>
      </w:r>
      <w:r>
        <w:t xml:space="preserve"> were randomised and </w:t>
      </w:r>
      <w:r w:rsidR="00C30053">
        <w:t>24</w:t>
      </w:r>
      <w:r>
        <w:t xml:space="preserve"> individuals completed the study. The concentration</w:t>
      </w:r>
      <w:r w:rsidR="00E35EDA">
        <w:t>s</w:t>
      </w:r>
      <w:r>
        <w:t xml:space="preserve"> of NAD</w:t>
      </w:r>
      <w:r w:rsidRPr="00C30C06">
        <w:rPr>
          <w:vertAlign w:val="superscript"/>
        </w:rPr>
        <w:t>+</w:t>
      </w:r>
      <w:r>
        <w:t xml:space="preserve"> and metabolites were measured in peripheral blood mononuclear cells. NAD</w:t>
      </w:r>
      <w:r w:rsidRPr="00C30C06">
        <w:rPr>
          <w:vertAlign w:val="superscript"/>
        </w:rPr>
        <w:t>+</w:t>
      </w:r>
      <w:r>
        <w:t xml:space="preserve"> and NAAD concentration</w:t>
      </w:r>
      <w:r w:rsidR="00E35EDA">
        <w:t>s</w:t>
      </w:r>
      <w:r>
        <w:t xml:space="preserve"> increased significantly in the NR</w:t>
      </w:r>
      <w:r w:rsidR="00E35EDA">
        <w:t>C</w:t>
      </w:r>
      <w:r>
        <w:t xml:space="preserve"> group compared to the control group (NAD</w:t>
      </w:r>
      <w:r w:rsidRPr="00646E62">
        <w:rPr>
          <w:vertAlign w:val="superscript"/>
        </w:rPr>
        <w:t>+</w:t>
      </w:r>
      <w:r>
        <w:t>: 16.3 ± 13.9 vs 10.1 ± 6.81 pmol/mg protein</w:t>
      </w:r>
      <w:r w:rsidR="00E35EDA">
        <w:t>;</w:t>
      </w:r>
      <w:r>
        <w:t xml:space="preserve"> mean ± SD, p &lt; 0.05; NAAD: 1.4 ± 2.14 vs 0.26 ± 0.54 pmol/mg protein</w:t>
      </w:r>
      <w:r w:rsidR="00E35EDA">
        <w:t xml:space="preserve">, </w:t>
      </w:r>
      <w:r w:rsidR="00E35EDA" w:rsidRPr="00600A86">
        <w:t xml:space="preserve">p </w:t>
      </w:r>
      <w:r w:rsidR="00600A86">
        <w:t>&lt; 0.05</w:t>
      </w:r>
      <w:r w:rsidR="00796BFA">
        <w:t xml:space="preserve">) </w:t>
      </w:r>
      <w:r>
        <w:t xml:space="preserve">however increases in NADP, Nam and NMN did not reach statistical significance. NR was not detected in either group.  </w:t>
      </w:r>
    </w:p>
    <w:p w14:paraId="786ACB38" w14:textId="77777777" w:rsidR="0047245E" w:rsidRDefault="0047245E" w:rsidP="00E5012A"/>
    <w:p w14:paraId="4862F974" w14:textId="1D579168" w:rsidR="00B40182" w:rsidRPr="0033116F" w:rsidRDefault="00B40182" w:rsidP="00B40182">
      <w:pPr>
        <w:rPr>
          <w:i/>
          <w:color w:val="0070C0"/>
        </w:rPr>
      </w:pPr>
      <w:r w:rsidRPr="00966350">
        <w:rPr>
          <w:i/>
        </w:rPr>
        <w:t>Pharmacokinetics of NRC in an 8-week repeat-dose study in healthy adults</w:t>
      </w:r>
      <w:r w:rsidRPr="0033116F">
        <w:rPr>
          <w:i/>
          <w:color w:val="0070C0"/>
        </w:rPr>
        <w:t xml:space="preserve">. </w:t>
      </w:r>
      <w:r w:rsidRPr="00966350">
        <w:rPr>
          <w:i/>
        </w:rPr>
        <w:t>Schacter</w:t>
      </w:r>
      <w:r w:rsidRPr="0033116F">
        <w:rPr>
          <w:i/>
          <w:color w:val="0070C0"/>
        </w:rPr>
        <w:t xml:space="preserve"> </w:t>
      </w:r>
      <w:r w:rsidRPr="00966350">
        <w:rPr>
          <w:i/>
        </w:rPr>
        <w:t>2018</w:t>
      </w:r>
      <w:r w:rsidR="00EC51CE">
        <w:rPr>
          <w:i/>
        </w:rPr>
        <w:t>; Conze et al. 2019</w:t>
      </w:r>
      <w:r w:rsidRPr="0033116F">
        <w:rPr>
          <w:i/>
          <w:color w:val="0070C0"/>
        </w:rPr>
        <w:t>.</w:t>
      </w:r>
    </w:p>
    <w:p w14:paraId="00A42E24" w14:textId="77777777" w:rsidR="00E5012A" w:rsidRPr="004A3A35" w:rsidRDefault="00E5012A" w:rsidP="00E5012A">
      <w:pPr>
        <w:rPr>
          <w:b/>
          <w:color w:val="FF0000"/>
        </w:rPr>
      </w:pPr>
    </w:p>
    <w:p w14:paraId="358AC3C4" w14:textId="68902BE2" w:rsidR="00E5012A" w:rsidRDefault="00E5012A" w:rsidP="00E5012A">
      <w:r w:rsidRPr="007032E6">
        <w:t xml:space="preserve">A randomised double-blind, placebo-controlled </w:t>
      </w:r>
      <w:r>
        <w:t>four</w:t>
      </w:r>
      <w:r w:rsidRPr="007032E6">
        <w:t xml:space="preserve">-arm parallel study was undertaken investigating the effects of </w:t>
      </w:r>
      <w:r w:rsidR="00B40182">
        <w:t>NRC</w:t>
      </w:r>
      <w:r w:rsidRPr="007032E6">
        <w:t xml:space="preserve"> supplementation on urinary MeNam and other NR metabolites in the urine</w:t>
      </w:r>
      <w:r w:rsidR="00683126">
        <w:t xml:space="preserve"> and </w:t>
      </w:r>
      <w:r w:rsidRPr="007032E6">
        <w:t xml:space="preserve">blood of healthy adults. </w:t>
      </w:r>
    </w:p>
    <w:p w14:paraId="278501E2" w14:textId="77777777" w:rsidR="00E5012A" w:rsidRDefault="00E5012A" w:rsidP="00E5012A"/>
    <w:p w14:paraId="34A60B93" w14:textId="0C0D0CDF" w:rsidR="00E5012A" w:rsidRDefault="00E5012A" w:rsidP="00E5012A">
      <w:r w:rsidRPr="007032E6">
        <w:t>Participants with a BMI of 25-30 kg/m</w:t>
      </w:r>
      <w:r w:rsidRPr="007032E6">
        <w:rPr>
          <w:vertAlign w:val="superscript"/>
        </w:rPr>
        <w:t>2</w:t>
      </w:r>
      <w:r w:rsidRPr="007032E6">
        <w:t xml:space="preserve"> received 100 mg, 300 mg or 1000 mg NR</w:t>
      </w:r>
      <w:r w:rsidR="00FB6466">
        <w:t>C</w:t>
      </w:r>
      <w:r w:rsidRPr="007032E6">
        <w:t xml:space="preserve"> or placebo (microcrystalline cellulose) </w:t>
      </w:r>
      <w:r w:rsidR="00B40182">
        <w:t xml:space="preserve">in four capsules </w:t>
      </w:r>
      <w:r w:rsidRPr="007032E6">
        <w:t xml:space="preserve">each day </w:t>
      </w:r>
      <w:r w:rsidR="005A129F">
        <w:t xml:space="preserve">after breakfast </w:t>
      </w:r>
      <w:r w:rsidRPr="007032E6">
        <w:t xml:space="preserve">for 8 weeks. </w:t>
      </w:r>
      <w:r>
        <w:t>Subjects were instructed to avoid foods that contain high amounts of vitamin B3 or tryptophan during the two week run-in and eight week test periods, and to maintain current levels of physical activity. No significant differences in demographics, anthropometric measurements or vital signs w</w:t>
      </w:r>
      <w:r w:rsidR="00E35EDA">
        <w:t>ere</w:t>
      </w:r>
      <w:r>
        <w:t xml:space="preserve"> observed between treatment groups. </w:t>
      </w:r>
      <w:r w:rsidRPr="007032E6">
        <w:t xml:space="preserve">Fasting blood and urine samples were taken on Day 0, 7, 14, 28 and 56 for NR metabolite analysis. One hundred and forty adults were analysed in the intention to treat (ITT) </w:t>
      </w:r>
      <w:r>
        <w:t xml:space="preserve">population and </w:t>
      </w:r>
      <w:r w:rsidR="00B40182">
        <w:t>128</w:t>
      </w:r>
      <w:r w:rsidRPr="007032E6">
        <w:t xml:space="preserve"> in the per protocol (PP) population</w:t>
      </w:r>
      <w:r>
        <w:t xml:space="preserve">. </w:t>
      </w:r>
    </w:p>
    <w:p w14:paraId="6116E363" w14:textId="77777777" w:rsidR="00E5012A" w:rsidRDefault="00E5012A" w:rsidP="00E5012A"/>
    <w:p w14:paraId="461E36C3" w14:textId="49993956" w:rsidR="00E5012A" w:rsidRDefault="00E5012A" w:rsidP="00E5012A">
      <w:r w:rsidRPr="005F426D">
        <w:t xml:space="preserve">In the ITT population, the urinary MeNam concentration increased in a dose dependent manner at </w:t>
      </w:r>
      <w:r>
        <w:t>eight</w:t>
      </w:r>
      <w:r w:rsidRPr="005F426D">
        <w:t xml:space="preserve"> weeks in the 100 mg, 300 mg and 1000 mg dose groups compared to placebo</w:t>
      </w:r>
      <w:r w:rsidRPr="00ED302A">
        <w:rPr>
          <w:color w:val="9BBB59" w:themeColor="accent3"/>
        </w:rPr>
        <w:t xml:space="preserve">, </w:t>
      </w:r>
      <w:r w:rsidRPr="005F426D">
        <w:t>reaching significance</w:t>
      </w:r>
      <w:r w:rsidR="002F3428">
        <w:t xml:space="preserve"> </w:t>
      </w:r>
      <w:r w:rsidRPr="005F426D">
        <w:t>in the 300 mg and 1000 mg dose groups (placebo: 4.1 ± 1.9</w:t>
      </w:r>
      <w:r w:rsidR="002F3428">
        <w:t>;</w:t>
      </w:r>
      <w:r w:rsidRPr="005F426D">
        <w:t xml:space="preserve"> 100 mg: 6.6 ± 4.9</w:t>
      </w:r>
      <w:r w:rsidR="002F3428">
        <w:t>;</w:t>
      </w:r>
      <w:r w:rsidRPr="005F426D">
        <w:t xml:space="preserve"> 300 mg: 10.6 ± 16.1</w:t>
      </w:r>
      <w:r w:rsidR="002F3428">
        <w:t>;</w:t>
      </w:r>
      <w:r w:rsidRPr="005F426D">
        <w:t xml:space="preserve"> 1000 mg: 17.8 ± 8.8 ng/</w:t>
      </w:r>
      <w:r w:rsidRPr="005F426D">
        <w:rPr>
          <w:rFonts w:cs="Arial"/>
        </w:rPr>
        <w:t>µ</w:t>
      </w:r>
      <w:r w:rsidRPr="005F426D">
        <w:t xml:space="preserve">g creatinine). </w:t>
      </w:r>
    </w:p>
    <w:p w14:paraId="1027C2F7" w14:textId="77777777" w:rsidR="00E5012A" w:rsidRDefault="00E5012A" w:rsidP="00E5012A"/>
    <w:p w14:paraId="606F3553" w14:textId="6E651498" w:rsidR="00E5012A" w:rsidRDefault="00E5012A" w:rsidP="00E5012A">
      <w:r w:rsidRPr="005F426D">
        <w:t>Whole blood NAD</w:t>
      </w:r>
      <w:r w:rsidRPr="005F426D">
        <w:rPr>
          <w:vertAlign w:val="superscript"/>
        </w:rPr>
        <w:t>+</w:t>
      </w:r>
      <w:r w:rsidRPr="005F426D">
        <w:rPr>
          <w:b/>
        </w:rPr>
        <w:t xml:space="preserve"> </w:t>
      </w:r>
      <w:r w:rsidRPr="005F426D">
        <w:t>concentration increased in the ITT population for the three NR groups in a dose-dependent manner compared to placebo at week 1, 2 and 8, reaching significance in the 300 mg and 1000 mg groups</w:t>
      </w:r>
      <w:r w:rsidR="002F3428">
        <w:t>.</w:t>
      </w:r>
    </w:p>
    <w:p w14:paraId="255DA8D1" w14:textId="77777777" w:rsidR="00E5012A" w:rsidRDefault="00E5012A" w:rsidP="00E5012A"/>
    <w:p w14:paraId="29E14BBF" w14:textId="585D4018" w:rsidR="00057F53" w:rsidRDefault="006D76C8" w:rsidP="00E5012A">
      <w:r>
        <w:t>D</w:t>
      </w:r>
      <w:r w:rsidR="00E5012A" w:rsidRPr="005F426D">
        <w:t>ose-dependent increases in plasma Nam concentration were observed with increasing doses of NR</w:t>
      </w:r>
      <w:r w:rsidR="00864249">
        <w:t>C</w:t>
      </w:r>
      <w:r w:rsidR="00E5012A" w:rsidRPr="005F426D">
        <w:t xml:space="preserve"> in the ITT populations, reaching significance in the 1000 mg group compared to placebo (</w:t>
      </w:r>
      <w:r w:rsidR="00A60FE2">
        <w:t xml:space="preserve">approximately 44 </w:t>
      </w:r>
      <w:r w:rsidR="00E5012A" w:rsidRPr="005F426D">
        <w:t>vs 22 ng/mL</w:t>
      </w:r>
      <w:r w:rsidR="006117BD">
        <w:t>).</w:t>
      </w:r>
      <w:r w:rsidR="00E5012A">
        <w:t xml:space="preserve"> </w:t>
      </w:r>
      <w:r w:rsidR="00E5012A" w:rsidRPr="005F426D">
        <w:t>Urinary 2-PY concentration increased in a dose-depen</w:t>
      </w:r>
      <w:r w:rsidR="00E5012A">
        <w:t>dent manner at eight</w:t>
      </w:r>
      <w:r w:rsidR="00E5012A" w:rsidRPr="005F426D">
        <w:t xml:space="preserve"> weeks in the ITT population, reaching significance in the 300 mg and 1000 mg dose groups compared to placebo (placebo: 15 ± 7 ng/</w:t>
      </w:r>
      <w:r w:rsidR="00E5012A" w:rsidRPr="005F426D">
        <w:rPr>
          <w:rFonts w:cs="Arial"/>
        </w:rPr>
        <w:t>µ</w:t>
      </w:r>
      <w:r w:rsidR="00E5012A" w:rsidRPr="005F426D">
        <w:t>g creatinine; 100 mg: 30 ± 24; 300 mg: 51 ± 55</w:t>
      </w:r>
      <w:r w:rsidR="006117BD">
        <w:t>;</w:t>
      </w:r>
      <w:r w:rsidR="00E5012A" w:rsidRPr="005F426D">
        <w:rPr>
          <w:color w:val="FF0000"/>
        </w:rPr>
        <w:t xml:space="preserve"> </w:t>
      </w:r>
      <w:r w:rsidR="00E5012A" w:rsidRPr="005F426D">
        <w:t>1000 mg: 113 ± 51</w:t>
      </w:r>
      <w:r w:rsidR="006117BD">
        <w:t>)</w:t>
      </w:r>
      <w:r w:rsidR="00E5012A">
        <w:t>.</w:t>
      </w:r>
    </w:p>
    <w:p w14:paraId="3D193E42" w14:textId="77777777" w:rsidR="00057F53" w:rsidRDefault="00057F53" w:rsidP="00E5012A"/>
    <w:p w14:paraId="1522107A" w14:textId="70AC39D6" w:rsidR="00E5012A" w:rsidRDefault="00E5012A" w:rsidP="00E5012A">
      <w:r w:rsidRPr="005F426D">
        <w:t xml:space="preserve">Similar results </w:t>
      </w:r>
      <w:r w:rsidR="005070E5">
        <w:t xml:space="preserve">to those for the ITT population </w:t>
      </w:r>
      <w:r w:rsidRPr="005F426D">
        <w:t>were observed in the PP population</w:t>
      </w:r>
      <w:r w:rsidR="005070E5">
        <w:t>.</w:t>
      </w:r>
      <w:r w:rsidRPr="005F426D">
        <w:t xml:space="preserve"> </w:t>
      </w:r>
    </w:p>
    <w:p w14:paraId="1A33B231" w14:textId="77777777" w:rsidR="006F5437" w:rsidRDefault="006F5437" w:rsidP="00E5012A"/>
    <w:p w14:paraId="56DED4C9" w14:textId="073D127B" w:rsidR="00E5012A" w:rsidRDefault="00E5012A" w:rsidP="00E5012A"/>
    <w:p w14:paraId="49654707" w14:textId="1C21BFBD" w:rsidR="00B40182" w:rsidRPr="00B10EFE" w:rsidRDefault="00B40182" w:rsidP="00B40182">
      <w:pPr>
        <w:rPr>
          <w:i/>
        </w:rPr>
      </w:pPr>
      <w:r>
        <w:t>12</w:t>
      </w:r>
      <w:r>
        <w:rPr>
          <w:i/>
        </w:rPr>
        <w:t>-week</w:t>
      </w:r>
      <w:r w:rsidRPr="00B10EFE">
        <w:rPr>
          <w:i/>
        </w:rPr>
        <w:t xml:space="preserve"> </w:t>
      </w:r>
      <w:r>
        <w:rPr>
          <w:i/>
        </w:rPr>
        <w:t>NRC</w:t>
      </w:r>
      <w:r w:rsidRPr="00B10EFE">
        <w:rPr>
          <w:i/>
        </w:rPr>
        <w:t xml:space="preserve"> supplementation study, with randomised double-blind design, in</w:t>
      </w:r>
      <w:r>
        <w:rPr>
          <w:i/>
        </w:rPr>
        <w:t xml:space="preserve"> obese men </w:t>
      </w:r>
      <w:r w:rsidRPr="00B10EFE">
        <w:rPr>
          <w:i/>
        </w:rPr>
        <w:t xml:space="preserve"> </w:t>
      </w:r>
      <w:r w:rsidRPr="007F292F">
        <w:rPr>
          <w:i/>
        </w:rPr>
        <w:t>(Dollerup et al</w:t>
      </w:r>
      <w:r w:rsidR="00CA0EBC">
        <w:rPr>
          <w:i/>
        </w:rPr>
        <w:t>.</w:t>
      </w:r>
      <w:r w:rsidRPr="007F292F">
        <w:rPr>
          <w:i/>
        </w:rPr>
        <w:t xml:space="preserve"> 2018).</w:t>
      </w:r>
      <w:r w:rsidRPr="00B10EFE">
        <w:rPr>
          <w:i/>
        </w:rPr>
        <w:t xml:space="preserve"> Regulatory status: </w:t>
      </w:r>
      <w:r>
        <w:rPr>
          <w:i/>
        </w:rPr>
        <w:t>Not GCP</w:t>
      </w:r>
    </w:p>
    <w:p w14:paraId="416DCEED" w14:textId="77777777" w:rsidR="00E5012A" w:rsidRDefault="00E5012A" w:rsidP="00E5012A">
      <w:pPr>
        <w:rPr>
          <w:b/>
        </w:rPr>
      </w:pPr>
      <w:r w:rsidRPr="004036AC">
        <w:rPr>
          <w:b/>
        </w:rPr>
        <w:t xml:space="preserve"> </w:t>
      </w:r>
    </w:p>
    <w:p w14:paraId="2CA82EEB" w14:textId="62B33F7A" w:rsidR="00E5012A" w:rsidRDefault="00E5012A" w:rsidP="00E5012A">
      <w:r>
        <w:lastRenderedPageBreak/>
        <w:t xml:space="preserve">An investigator-initiated block randomised, double-blinded, placebo controlled parallel clinical trial was undertaken of </w:t>
      </w:r>
      <w:r w:rsidR="00B40182">
        <w:t xml:space="preserve">40 </w:t>
      </w:r>
      <w:r>
        <w:t>healthy, sedentary Caucasian men with a BMI &gt; 30 kg/m</w:t>
      </w:r>
      <w:r w:rsidRPr="004036AC">
        <w:rPr>
          <w:vertAlign w:val="superscript"/>
        </w:rPr>
        <w:t>2</w:t>
      </w:r>
      <w:r>
        <w:t>, aged between 40 and 70 years</w:t>
      </w:r>
      <w:r w:rsidR="002434EE">
        <w:t>. Participants</w:t>
      </w:r>
      <w:r>
        <w:t xml:space="preserve"> were randomly assigned to receive an oral supplement of NR</w:t>
      </w:r>
      <w:r w:rsidR="00B40182">
        <w:t>C</w:t>
      </w:r>
      <w:r>
        <w:t xml:space="preserve"> (1000 mg twice daily or placebo) for 12 weeks. First morning urine was collected</w:t>
      </w:r>
      <w:r w:rsidDel="00B40182">
        <w:t xml:space="preserve"> </w:t>
      </w:r>
      <w:r w:rsidR="00B40182">
        <w:t>12</w:t>
      </w:r>
      <w:r>
        <w:t xml:space="preserve"> hours after the final NR dose for quantification of NR and NAD-derived metabolites and normalised to creatinine concentrations. Urinary NR metabolites were compared using the unpaired 2-sample t test. NR supplementation significantly increased all NAD</w:t>
      </w:r>
      <w:r w:rsidRPr="008C20FB">
        <w:rPr>
          <w:vertAlign w:val="superscript"/>
        </w:rPr>
        <w:t>+</w:t>
      </w:r>
      <w:r>
        <w:t xml:space="preserve"> and NR-derived metabolites (p &lt; 0.01) as shown in </w:t>
      </w:r>
      <w:r w:rsidRPr="0043418D">
        <w:rPr>
          <w:b/>
        </w:rPr>
        <w:t xml:space="preserve">Table </w:t>
      </w:r>
      <w:r w:rsidR="00BD06DA">
        <w:rPr>
          <w:b/>
        </w:rPr>
        <w:t>1</w:t>
      </w:r>
      <w:r w:rsidRPr="0043418D">
        <w:t xml:space="preserve"> </w:t>
      </w:r>
      <w:r>
        <w:t xml:space="preserve">for </w:t>
      </w:r>
      <w:r>
        <w:rPr>
          <w:rFonts w:cs="Arial"/>
        </w:rPr>
        <w:t>β</w:t>
      </w:r>
      <w:r>
        <w:t>-NR, Nam, MeNAM, nicotinamide oxide (Nam oxide), 2</w:t>
      </w:r>
      <w:r w:rsidR="005A72C0">
        <w:t>-</w:t>
      </w:r>
      <w:r>
        <w:t>PY, 4</w:t>
      </w:r>
      <w:r w:rsidR="005A72C0">
        <w:t>-</w:t>
      </w:r>
      <w:r>
        <w:t xml:space="preserve">PY and nicotinic acid riboside (NAR).  </w:t>
      </w:r>
    </w:p>
    <w:p w14:paraId="75869240" w14:textId="43AC70CF" w:rsidR="00E5012A" w:rsidRDefault="00E5012A" w:rsidP="00E5012A"/>
    <w:tbl>
      <w:tblPr>
        <w:tblStyle w:val="TableGrid"/>
        <w:tblW w:w="0" w:type="auto"/>
        <w:tblLook w:val="04A0" w:firstRow="1" w:lastRow="0" w:firstColumn="1" w:lastColumn="0" w:noHBand="0" w:noVBand="1"/>
      </w:tblPr>
      <w:tblGrid>
        <w:gridCol w:w="3020"/>
        <w:gridCol w:w="3020"/>
        <w:gridCol w:w="3020"/>
      </w:tblGrid>
      <w:tr w:rsidR="00212FD6" w14:paraId="1ED098D4" w14:textId="77777777" w:rsidTr="00212FD6">
        <w:tc>
          <w:tcPr>
            <w:tcW w:w="9060" w:type="dxa"/>
            <w:gridSpan w:val="3"/>
            <w:tcBorders>
              <w:top w:val="nil"/>
              <w:left w:val="nil"/>
              <w:bottom w:val="single" w:sz="4" w:space="0" w:color="auto"/>
              <w:right w:val="nil"/>
            </w:tcBorders>
          </w:tcPr>
          <w:p w14:paraId="6BBF23E2" w14:textId="57CB4D99" w:rsidR="00212FD6" w:rsidRPr="00212FD6" w:rsidRDefault="00212FD6" w:rsidP="00E5012A">
            <w:pPr>
              <w:rPr>
                <w:rFonts w:cs="Arial"/>
              </w:rPr>
            </w:pPr>
            <w:r w:rsidRPr="00FB67BF">
              <w:rPr>
                <w:rFonts w:cs="Arial"/>
                <w:b/>
                <w:i/>
              </w:rPr>
              <w:t>Table 1.</w:t>
            </w:r>
            <w:r w:rsidRPr="00212FD6">
              <w:rPr>
                <w:rFonts w:cs="Arial"/>
                <w:b/>
              </w:rPr>
              <w:t xml:space="preserve"> Urinary NAD+ metabolite concentration (mean ± SEM normalised to creatinine concentration) after 12 weeks with placebo or 1000 mg NRC </w:t>
            </w:r>
            <w:r w:rsidR="00100813">
              <w:rPr>
                <w:rFonts w:cs="Arial"/>
                <w:b/>
              </w:rPr>
              <w:t>twice daily</w:t>
            </w:r>
            <w:r w:rsidR="009A1E18">
              <w:rPr>
                <w:rFonts w:cs="Arial"/>
                <w:b/>
              </w:rPr>
              <w:t xml:space="preserve"> </w:t>
            </w:r>
            <w:r w:rsidRPr="00212FD6">
              <w:rPr>
                <w:rFonts w:cs="Arial"/>
              </w:rPr>
              <w:t>(Dollerup et al. 2018)</w:t>
            </w:r>
          </w:p>
        </w:tc>
      </w:tr>
      <w:tr w:rsidR="00212FD6" w14:paraId="5CCE46D1" w14:textId="77777777" w:rsidTr="00212FD6">
        <w:tc>
          <w:tcPr>
            <w:tcW w:w="3020" w:type="dxa"/>
            <w:tcBorders>
              <w:top w:val="single" w:sz="4" w:space="0" w:color="auto"/>
              <w:bottom w:val="nil"/>
            </w:tcBorders>
          </w:tcPr>
          <w:p w14:paraId="0FDF632D" w14:textId="77777777" w:rsidR="00212FD6" w:rsidRPr="00212FD6" w:rsidRDefault="00212FD6" w:rsidP="00E5012A">
            <w:pPr>
              <w:rPr>
                <w:rFonts w:cs="Arial"/>
              </w:rPr>
            </w:pPr>
          </w:p>
        </w:tc>
        <w:tc>
          <w:tcPr>
            <w:tcW w:w="6040" w:type="dxa"/>
            <w:gridSpan w:val="2"/>
            <w:tcBorders>
              <w:top w:val="single" w:sz="4" w:space="0" w:color="auto"/>
              <w:bottom w:val="nil"/>
            </w:tcBorders>
          </w:tcPr>
          <w:p w14:paraId="11B80CC3" w14:textId="1A4D03DC" w:rsidR="00212FD6" w:rsidRPr="00212FD6" w:rsidRDefault="00212FD6" w:rsidP="00E5012A">
            <w:pPr>
              <w:rPr>
                <w:rFonts w:cs="Arial"/>
              </w:rPr>
            </w:pPr>
            <w:r w:rsidRPr="00212FD6">
              <w:rPr>
                <w:rFonts w:cs="Arial"/>
                <w:b/>
                <w:bCs/>
                <w:color w:val="000000"/>
                <w:lang w:eastAsia="en-GB"/>
              </w:rPr>
              <w:t xml:space="preserve">Urine concentration </w:t>
            </w:r>
            <w:r w:rsidR="002A42CB">
              <w:rPr>
                <w:rFonts w:cs="Arial"/>
                <w:b/>
                <w:bCs/>
                <w:color w:val="000000"/>
                <w:lang w:eastAsia="en-GB"/>
              </w:rPr>
              <w:t>(</w:t>
            </w:r>
            <w:r w:rsidRPr="00212FD6">
              <w:rPr>
                <w:rFonts w:cs="Arial"/>
                <w:b/>
                <w:bCs/>
                <w:color w:val="000000"/>
                <w:lang w:eastAsia="en-GB"/>
              </w:rPr>
              <w:t>µmol/g creatinine ± SEM</w:t>
            </w:r>
            <w:r w:rsidR="002A42CB">
              <w:rPr>
                <w:rFonts w:cs="Arial"/>
                <w:b/>
                <w:bCs/>
                <w:color w:val="000000"/>
                <w:lang w:eastAsia="en-GB"/>
              </w:rPr>
              <w:t>)</w:t>
            </w:r>
          </w:p>
        </w:tc>
      </w:tr>
      <w:tr w:rsidR="00212FD6" w14:paraId="2A133621" w14:textId="77777777" w:rsidTr="00212FD6">
        <w:tc>
          <w:tcPr>
            <w:tcW w:w="3020" w:type="dxa"/>
            <w:tcBorders>
              <w:top w:val="nil"/>
            </w:tcBorders>
          </w:tcPr>
          <w:p w14:paraId="3AF04F67" w14:textId="72B7F2E3" w:rsidR="00212FD6" w:rsidRPr="00212FD6" w:rsidRDefault="00212FD6" w:rsidP="00E5012A">
            <w:pPr>
              <w:rPr>
                <w:rFonts w:cs="Arial"/>
                <w:b/>
              </w:rPr>
            </w:pPr>
            <w:r w:rsidRPr="00212FD6">
              <w:rPr>
                <w:rFonts w:cs="Arial"/>
                <w:b/>
              </w:rPr>
              <w:t>Analyte</w:t>
            </w:r>
          </w:p>
        </w:tc>
        <w:tc>
          <w:tcPr>
            <w:tcW w:w="3020" w:type="dxa"/>
            <w:tcBorders>
              <w:top w:val="nil"/>
              <w:right w:val="nil"/>
            </w:tcBorders>
          </w:tcPr>
          <w:p w14:paraId="3022F72A" w14:textId="72A30BD7" w:rsidR="00212FD6" w:rsidRPr="00212FD6" w:rsidRDefault="00212FD6" w:rsidP="00E5012A">
            <w:pPr>
              <w:rPr>
                <w:rFonts w:cs="Arial"/>
                <w:b/>
              </w:rPr>
            </w:pPr>
            <w:r w:rsidRPr="00212FD6">
              <w:rPr>
                <w:rFonts w:cs="Arial"/>
                <w:b/>
              </w:rPr>
              <w:t>Test group</w:t>
            </w:r>
          </w:p>
        </w:tc>
        <w:tc>
          <w:tcPr>
            <w:tcW w:w="3020" w:type="dxa"/>
            <w:tcBorders>
              <w:top w:val="nil"/>
              <w:left w:val="nil"/>
            </w:tcBorders>
          </w:tcPr>
          <w:p w14:paraId="4870CA71" w14:textId="5C7C9EDC" w:rsidR="00212FD6" w:rsidRPr="00212FD6" w:rsidRDefault="00212FD6" w:rsidP="00E5012A">
            <w:pPr>
              <w:rPr>
                <w:rFonts w:cs="Arial"/>
                <w:b/>
              </w:rPr>
            </w:pPr>
            <w:r w:rsidRPr="00212FD6">
              <w:rPr>
                <w:rFonts w:cs="Arial"/>
                <w:b/>
              </w:rPr>
              <w:t>Placebo group</w:t>
            </w:r>
          </w:p>
        </w:tc>
      </w:tr>
      <w:tr w:rsidR="00212FD6" w14:paraId="5BFBC3A3" w14:textId="77777777" w:rsidTr="00AF627E">
        <w:tc>
          <w:tcPr>
            <w:tcW w:w="3020" w:type="dxa"/>
            <w:vAlign w:val="bottom"/>
          </w:tcPr>
          <w:p w14:paraId="5B7D4E0C" w14:textId="6E52F35C" w:rsidR="00212FD6" w:rsidRPr="00212FD6" w:rsidRDefault="00212FD6" w:rsidP="00212FD6">
            <w:pPr>
              <w:rPr>
                <w:rFonts w:cs="Arial"/>
              </w:rPr>
            </w:pPr>
            <w:r w:rsidRPr="00212FD6">
              <w:rPr>
                <w:rFonts w:cs="Arial"/>
              </w:rPr>
              <w:t>β-</w:t>
            </w:r>
            <w:r w:rsidRPr="00212FD6">
              <w:rPr>
                <w:rFonts w:cs="Arial"/>
                <w:color w:val="000000"/>
                <w:lang w:eastAsia="en-GB"/>
              </w:rPr>
              <w:t xml:space="preserve">NR </w:t>
            </w:r>
          </w:p>
        </w:tc>
        <w:tc>
          <w:tcPr>
            <w:tcW w:w="3020" w:type="dxa"/>
          </w:tcPr>
          <w:p w14:paraId="71280FAD" w14:textId="4FDE3B49" w:rsidR="00212FD6" w:rsidRPr="00212FD6" w:rsidRDefault="00212FD6" w:rsidP="00212FD6">
            <w:pPr>
              <w:rPr>
                <w:rFonts w:cs="Arial"/>
              </w:rPr>
            </w:pPr>
            <w:r>
              <w:rPr>
                <w:rFonts w:cs="Arial"/>
              </w:rPr>
              <w:t>0.</w:t>
            </w:r>
            <w:r w:rsidR="00100813">
              <w:rPr>
                <w:rFonts w:cs="Arial"/>
              </w:rPr>
              <w:t>41</w:t>
            </w:r>
            <w:r w:rsidRPr="00212FD6">
              <w:rPr>
                <w:rFonts w:cs="Arial"/>
              </w:rPr>
              <w:t xml:space="preserve"> ± 0.0</w:t>
            </w:r>
            <w:r w:rsidR="00100813">
              <w:rPr>
                <w:rFonts w:cs="Arial"/>
              </w:rPr>
              <w:t>2</w:t>
            </w:r>
          </w:p>
        </w:tc>
        <w:tc>
          <w:tcPr>
            <w:tcW w:w="3020" w:type="dxa"/>
          </w:tcPr>
          <w:p w14:paraId="28EE6094" w14:textId="3702CB87" w:rsidR="00212FD6" w:rsidRPr="00212FD6" w:rsidRDefault="00212FD6" w:rsidP="00212FD6">
            <w:pPr>
              <w:rPr>
                <w:rFonts w:cs="Arial"/>
              </w:rPr>
            </w:pPr>
            <w:r w:rsidRPr="00212FD6">
              <w:rPr>
                <w:rFonts w:cs="Arial"/>
              </w:rPr>
              <w:t>0.</w:t>
            </w:r>
            <w:r w:rsidR="00100813">
              <w:rPr>
                <w:rFonts w:cs="Arial"/>
              </w:rPr>
              <w:t>32</w:t>
            </w:r>
            <w:r w:rsidRPr="00212FD6">
              <w:rPr>
                <w:rFonts w:cs="Arial"/>
              </w:rPr>
              <w:t xml:space="preserve"> ± 0.</w:t>
            </w:r>
            <w:r w:rsidR="00100813">
              <w:rPr>
                <w:rFonts w:cs="Arial"/>
              </w:rPr>
              <w:t>01</w:t>
            </w:r>
          </w:p>
        </w:tc>
      </w:tr>
      <w:tr w:rsidR="00212FD6" w14:paraId="6E77F01F" w14:textId="77777777" w:rsidTr="00AF627E">
        <w:tc>
          <w:tcPr>
            <w:tcW w:w="3020" w:type="dxa"/>
            <w:vAlign w:val="bottom"/>
          </w:tcPr>
          <w:p w14:paraId="648D350E" w14:textId="7F4F1352" w:rsidR="00212FD6" w:rsidRPr="00212FD6" w:rsidRDefault="00212FD6" w:rsidP="00212FD6">
            <w:pPr>
              <w:rPr>
                <w:rFonts w:cs="Arial"/>
              </w:rPr>
            </w:pPr>
            <w:r w:rsidRPr="00212FD6">
              <w:rPr>
                <w:rFonts w:cs="Arial"/>
                <w:color w:val="000000"/>
                <w:lang w:eastAsia="en-GB"/>
              </w:rPr>
              <w:t xml:space="preserve">Nam </w:t>
            </w:r>
          </w:p>
        </w:tc>
        <w:tc>
          <w:tcPr>
            <w:tcW w:w="3020" w:type="dxa"/>
          </w:tcPr>
          <w:p w14:paraId="1839490F" w14:textId="7E337908" w:rsidR="00212FD6" w:rsidRPr="00212FD6" w:rsidRDefault="00212FD6" w:rsidP="00212FD6">
            <w:pPr>
              <w:rPr>
                <w:rFonts w:cs="Arial"/>
              </w:rPr>
            </w:pPr>
            <w:r w:rsidRPr="00212FD6">
              <w:rPr>
                <w:rFonts w:cs="Arial"/>
              </w:rPr>
              <w:t>4.51 ± 0.</w:t>
            </w:r>
            <w:r w:rsidR="00100813">
              <w:rPr>
                <w:rFonts w:cs="Arial"/>
              </w:rPr>
              <w:t>64</w:t>
            </w:r>
          </w:p>
        </w:tc>
        <w:tc>
          <w:tcPr>
            <w:tcW w:w="3020" w:type="dxa"/>
          </w:tcPr>
          <w:p w14:paraId="68B4784C" w14:textId="19BDE1F8" w:rsidR="00212FD6" w:rsidRPr="00212FD6" w:rsidRDefault="00212FD6" w:rsidP="00212FD6">
            <w:pPr>
              <w:rPr>
                <w:rFonts w:cs="Arial"/>
              </w:rPr>
            </w:pPr>
            <w:r w:rsidRPr="00212FD6">
              <w:rPr>
                <w:rFonts w:cs="Arial"/>
              </w:rPr>
              <w:t>1.41 ± 0.</w:t>
            </w:r>
            <w:r w:rsidR="00100813">
              <w:rPr>
                <w:rFonts w:cs="Arial"/>
              </w:rPr>
              <w:t>08</w:t>
            </w:r>
          </w:p>
        </w:tc>
      </w:tr>
      <w:tr w:rsidR="00212FD6" w14:paraId="4B2329BA" w14:textId="77777777" w:rsidTr="00AF627E">
        <w:tc>
          <w:tcPr>
            <w:tcW w:w="3020" w:type="dxa"/>
            <w:vAlign w:val="bottom"/>
          </w:tcPr>
          <w:p w14:paraId="0A43C06A" w14:textId="17A522C2" w:rsidR="00212FD6" w:rsidRPr="00212FD6" w:rsidRDefault="00212FD6" w:rsidP="00212FD6">
            <w:pPr>
              <w:rPr>
                <w:rFonts w:cs="Arial"/>
              </w:rPr>
            </w:pPr>
            <w:r w:rsidRPr="00212FD6">
              <w:rPr>
                <w:rFonts w:cs="Arial"/>
                <w:color w:val="000000"/>
                <w:lang w:eastAsia="en-GB"/>
              </w:rPr>
              <w:t>MeNam</w:t>
            </w:r>
          </w:p>
        </w:tc>
        <w:tc>
          <w:tcPr>
            <w:tcW w:w="3020" w:type="dxa"/>
          </w:tcPr>
          <w:p w14:paraId="64394C64" w14:textId="23B2EBB1" w:rsidR="00212FD6" w:rsidRPr="00212FD6" w:rsidRDefault="00212FD6" w:rsidP="00212FD6">
            <w:pPr>
              <w:rPr>
                <w:rFonts w:cs="Arial"/>
              </w:rPr>
            </w:pPr>
            <w:r w:rsidRPr="00212FD6">
              <w:rPr>
                <w:rFonts w:cs="Arial"/>
              </w:rPr>
              <w:t>483 ± 52.3</w:t>
            </w:r>
          </w:p>
        </w:tc>
        <w:tc>
          <w:tcPr>
            <w:tcW w:w="3020" w:type="dxa"/>
          </w:tcPr>
          <w:p w14:paraId="053486C7" w14:textId="68C58383" w:rsidR="00212FD6" w:rsidRPr="00212FD6" w:rsidRDefault="00D0230B" w:rsidP="00212FD6">
            <w:pPr>
              <w:rPr>
                <w:rFonts w:cs="Arial"/>
              </w:rPr>
            </w:pPr>
            <w:r w:rsidRPr="00D0230B">
              <w:rPr>
                <w:rFonts w:cs="Arial"/>
              </w:rPr>
              <w:t>40.3 ± 2.01</w:t>
            </w:r>
          </w:p>
        </w:tc>
      </w:tr>
      <w:tr w:rsidR="00212FD6" w14:paraId="7CD51A15" w14:textId="77777777" w:rsidTr="00AF627E">
        <w:tc>
          <w:tcPr>
            <w:tcW w:w="3020" w:type="dxa"/>
            <w:vAlign w:val="bottom"/>
          </w:tcPr>
          <w:p w14:paraId="1F04AF92" w14:textId="35332A98" w:rsidR="00212FD6" w:rsidRPr="00212FD6" w:rsidRDefault="00212FD6" w:rsidP="00212FD6">
            <w:pPr>
              <w:rPr>
                <w:rFonts w:cs="Arial"/>
              </w:rPr>
            </w:pPr>
            <w:r w:rsidRPr="00212FD6">
              <w:rPr>
                <w:rFonts w:cs="Arial"/>
                <w:color w:val="000000"/>
                <w:lang w:eastAsia="en-GB"/>
              </w:rPr>
              <w:t>Nam oxide</w:t>
            </w:r>
          </w:p>
        </w:tc>
        <w:tc>
          <w:tcPr>
            <w:tcW w:w="3020" w:type="dxa"/>
          </w:tcPr>
          <w:p w14:paraId="11D03634" w14:textId="20191E07" w:rsidR="00212FD6" w:rsidRPr="00212FD6" w:rsidRDefault="00212FD6" w:rsidP="00212FD6">
            <w:pPr>
              <w:rPr>
                <w:rFonts w:cs="Arial"/>
              </w:rPr>
            </w:pPr>
            <w:r w:rsidRPr="00212FD6">
              <w:rPr>
                <w:rFonts w:cs="Arial"/>
              </w:rPr>
              <w:t>12.3 ± 1.61</w:t>
            </w:r>
          </w:p>
        </w:tc>
        <w:tc>
          <w:tcPr>
            <w:tcW w:w="3020" w:type="dxa"/>
          </w:tcPr>
          <w:p w14:paraId="7BBC2B46" w14:textId="38CEEE7E" w:rsidR="00212FD6" w:rsidRPr="00212FD6" w:rsidRDefault="00D0230B" w:rsidP="00212FD6">
            <w:pPr>
              <w:rPr>
                <w:rFonts w:cs="Arial"/>
              </w:rPr>
            </w:pPr>
            <w:r w:rsidRPr="00D0230B">
              <w:rPr>
                <w:rFonts w:cs="Arial"/>
              </w:rPr>
              <w:t>1.50 ± 0.</w:t>
            </w:r>
            <w:r w:rsidR="00100813">
              <w:rPr>
                <w:rFonts w:cs="Arial"/>
              </w:rPr>
              <w:t>22</w:t>
            </w:r>
          </w:p>
        </w:tc>
      </w:tr>
      <w:tr w:rsidR="00212FD6" w14:paraId="6E4BFC80" w14:textId="77777777" w:rsidTr="00AF627E">
        <w:tc>
          <w:tcPr>
            <w:tcW w:w="3020" w:type="dxa"/>
            <w:vAlign w:val="bottom"/>
          </w:tcPr>
          <w:p w14:paraId="16568900" w14:textId="06F5D2F4" w:rsidR="00212FD6" w:rsidRPr="00212FD6" w:rsidRDefault="00212FD6" w:rsidP="00212FD6">
            <w:pPr>
              <w:rPr>
                <w:rFonts w:cs="Arial"/>
              </w:rPr>
            </w:pPr>
            <w:r w:rsidRPr="00212FD6">
              <w:rPr>
                <w:rFonts w:cs="Arial"/>
                <w:color w:val="000000"/>
                <w:lang w:eastAsia="en-GB"/>
              </w:rPr>
              <w:t>2-PY</w:t>
            </w:r>
          </w:p>
        </w:tc>
        <w:tc>
          <w:tcPr>
            <w:tcW w:w="3020" w:type="dxa"/>
          </w:tcPr>
          <w:p w14:paraId="10D271BC" w14:textId="634CAF34" w:rsidR="00212FD6" w:rsidRPr="00212FD6" w:rsidRDefault="00212FD6" w:rsidP="00212FD6">
            <w:pPr>
              <w:rPr>
                <w:rFonts w:cs="Arial"/>
              </w:rPr>
            </w:pPr>
            <w:r w:rsidRPr="00212FD6">
              <w:rPr>
                <w:rFonts w:cs="Arial"/>
              </w:rPr>
              <w:t>738 ± 80.5</w:t>
            </w:r>
          </w:p>
        </w:tc>
        <w:tc>
          <w:tcPr>
            <w:tcW w:w="3020" w:type="dxa"/>
          </w:tcPr>
          <w:p w14:paraId="7461FDA1" w14:textId="3ACEC1C2" w:rsidR="00212FD6" w:rsidRPr="00212FD6" w:rsidRDefault="00D0230B" w:rsidP="00212FD6">
            <w:pPr>
              <w:rPr>
                <w:rFonts w:cs="Arial"/>
              </w:rPr>
            </w:pPr>
            <w:r w:rsidRPr="00D0230B">
              <w:rPr>
                <w:rFonts w:cs="Arial"/>
              </w:rPr>
              <w:t>73.8 ± 10.1</w:t>
            </w:r>
          </w:p>
        </w:tc>
      </w:tr>
      <w:tr w:rsidR="00212FD6" w14:paraId="4DEFF84C" w14:textId="77777777" w:rsidTr="00AF627E">
        <w:tc>
          <w:tcPr>
            <w:tcW w:w="3020" w:type="dxa"/>
            <w:vAlign w:val="bottom"/>
          </w:tcPr>
          <w:p w14:paraId="7422B3CE" w14:textId="1FAA83EE" w:rsidR="00212FD6" w:rsidRPr="00212FD6" w:rsidRDefault="00212FD6" w:rsidP="00212FD6">
            <w:pPr>
              <w:rPr>
                <w:rFonts w:cs="Arial"/>
              </w:rPr>
            </w:pPr>
            <w:r w:rsidRPr="00212FD6">
              <w:rPr>
                <w:rFonts w:cs="Arial"/>
                <w:color w:val="000000"/>
                <w:lang w:eastAsia="en-GB"/>
              </w:rPr>
              <w:t>4-PY</w:t>
            </w:r>
          </w:p>
        </w:tc>
        <w:tc>
          <w:tcPr>
            <w:tcW w:w="3020" w:type="dxa"/>
          </w:tcPr>
          <w:p w14:paraId="7258E908" w14:textId="5E7881D1" w:rsidR="00212FD6" w:rsidRPr="00212FD6" w:rsidRDefault="00212FD6" w:rsidP="00212FD6">
            <w:pPr>
              <w:rPr>
                <w:rFonts w:cs="Arial"/>
              </w:rPr>
            </w:pPr>
            <w:r w:rsidRPr="00212FD6">
              <w:rPr>
                <w:rFonts w:cs="Arial"/>
              </w:rPr>
              <w:t>191 ± 20.1</w:t>
            </w:r>
          </w:p>
        </w:tc>
        <w:tc>
          <w:tcPr>
            <w:tcW w:w="3020" w:type="dxa"/>
          </w:tcPr>
          <w:p w14:paraId="57F0DA35" w14:textId="66E97AFB" w:rsidR="00212FD6" w:rsidRPr="00212FD6" w:rsidRDefault="00D0230B" w:rsidP="00212FD6">
            <w:pPr>
              <w:rPr>
                <w:rFonts w:cs="Arial"/>
              </w:rPr>
            </w:pPr>
            <w:r w:rsidRPr="00D0230B">
              <w:rPr>
                <w:rFonts w:cs="Arial"/>
              </w:rPr>
              <w:t>16.8 ± 0.</w:t>
            </w:r>
            <w:r w:rsidR="00100813">
              <w:rPr>
                <w:rFonts w:cs="Arial"/>
              </w:rPr>
              <w:t>84</w:t>
            </w:r>
          </w:p>
        </w:tc>
      </w:tr>
      <w:tr w:rsidR="00212FD6" w14:paraId="181611B2" w14:textId="77777777" w:rsidTr="00AF627E">
        <w:tc>
          <w:tcPr>
            <w:tcW w:w="3020" w:type="dxa"/>
            <w:vAlign w:val="bottom"/>
          </w:tcPr>
          <w:p w14:paraId="3710DCE1" w14:textId="21B1A3B2" w:rsidR="00212FD6" w:rsidRPr="00212FD6" w:rsidRDefault="00212FD6" w:rsidP="00212FD6">
            <w:pPr>
              <w:rPr>
                <w:rFonts w:cs="Arial"/>
                <w:color w:val="000000"/>
                <w:lang w:eastAsia="en-GB"/>
              </w:rPr>
            </w:pPr>
            <w:r w:rsidRPr="00212FD6">
              <w:rPr>
                <w:rFonts w:cs="Arial"/>
                <w:lang w:eastAsia="en-GB"/>
              </w:rPr>
              <w:t>NAR</w:t>
            </w:r>
          </w:p>
        </w:tc>
        <w:tc>
          <w:tcPr>
            <w:tcW w:w="3020" w:type="dxa"/>
          </w:tcPr>
          <w:p w14:paraId="1CF66D65" w14:textId="63101DBF" w:rsidR="00212FD6" w:rsidRPr="00212FD6" w:rsidRDefault="00212FD6" w:rsidP="00212FD6">
            <w:pPr>
              <w:rPr>
                <w:rFonts w:cs="Arial"/>
              </w:rPr>
            </w:pPr>
            <w:r w:rsidRPr="00212FD6">
              <w:rPr>
                <w:rFonts w:cs="Arial"/>
              </w:rPr>
              <w:t>0.</w:t>
            </w:r>
            <w:r w:rsidR="00100813">
              <w:rPr>
                <w:rFonts w:cs="Arial"/>
              </w:rPr>
              <w:t>73</w:t>
            </w:r>
            <w:r w:rsidRPr="00212FD6">
              <w:rPr>
                <w:rFonts w:cs="Arial"/>
              </w:rPr>
              <w:t xml:space="preserve"> ± 0.</w:t>
            </w:r>
            <w:r w:rsidR="00100813">
              <w:rPr>
                <w:rFonts w:cs="Arial"/>
              </w:rPr>
              <w:t>15</w:t>
            </w:r>
          </w:p>
        </w:tc>
        <w:tc>
          <w:tcPr>
            <w:tcW w:w="3020" w:type="dxa"/>
          </w:tcPr>
          <w:p w14:paraId="34CF845F" w14:textId="5F499FE1" w:rsidR="00212FD6" w:rsidRPr="00212FD6" w:rsidRDefault="002434EE" w:rsidP="00212FD6">
            <w:pPr>
              <w:rPr>
                <w:rFonts w:cs="Arial"/>
              </w:rPr>
            </w:pPr>
            <w:r>
              <w:rPr>
                <w:rFonts w:cs="Arial"/>
              </w:rPr>
              <w:t>0</w:t>
            </w:r>
            <w:r w:rsidR="00D0230B" w:rsidRPr="00D0230B">
              <w:rPr>
                <w:rFonts w:cs="Arial"/>
              </w:rPr>
              <w:t>.</w:t>
            </w:r>
            <w:r w:rsidR="00100813">
              <w:rPr>
                <w:rFonts w:cs="Arial"/>
              </w:rPr>
              <w:t>01</w:t>
            </w:r>
            <w:r w:rsidR="00D0230B" w:rsidRPr="00D0230B">
              <w:rPr>
                <w:rFonts w:cs="Arial"/>
              </w:rPr>
              <w:t xml:space="preserve"> </w:t>
            </w:r>
            <w:r w:rsidR="00C96F22">
              <w:rPr>
                <w:rFonts w:cs="Arial"/>
              </w:rPr>
              <w:t>(</w:t>
            </w:r>
            <w:r w:rsidR="00D0230B" w:rsidRPr="00D0230B">
              <w:rPr>
                <w:rFonts w:cs="Arial"/>
              </w:rPr>
              <w:t>No SEM</w:t>
            </w:r>
            <w:r w:rsidR="00C96F22">
              <w:rPr>
                <w:rFonts w:cs="Arial"/>
              </w:rPr>
              <w:t>)</w:t>
            </w:r>
          </w:p>
        </w:tc>
      </w:tr>
    </w:tbl>
    <w:p w14:paraId="4970927C" w14:textId="0F9F0709" w:rsidR="00DE1867" w:rsidRDefault="00DE1867" w:rsidP="00E5012A"/>
    <w:p w14:paraId="2F452B4A" w14:textId="52B06F46" w:rsidR="00CF6A87" w:rsidRPr="0033116F" w:rsidRDefault="00CF6A87" w:rsidP="00CF6A87">
      <w:pPr>
        <w:rPr>
          <w:i/>
          <w:color w:val="0070C0"/>
        </w:rPr>
      </w:pPr>
      <w:r w:rsidRPr="00966350">
        <w:rPr>
          <w:i/>
        </w:rPr>
        <w:t xml:space="preserve">Randomised double-blind crossover study of pharmacokinetics of single doses of NRC in healthy human </w:t>
      </w:r>
      <w:r w:rsidRPr="00FC190B">
        <w:rPr>
          <w:i/>
        </w:rPr>
        <w:t>subjects (Unpublished study, Wilson (study director</w:t>
      </w:r>
      <w:r w:rsidRPr="00AB5CA2">
        <w:rPr>
          <w:i/>
        </w:rPr>
        <w:t>)</w:t>
      </w:r>
      <w:r w:rsidRPr="0033116F">
        <w:rPr>
          <w:i/>
          <w:color w:val="0070C0"/>
        </w:rPr>
        <w:t xml:space="preserve"> </w:t>
      </w:r>
      <w:r w:rsidRPr="00966350">
        <w:rPr>
          <w:i/>
        </w:rPr>
        <w:t>2015</w:t>
      </w:r>
      <w:r>
        <w:rPr>
          <w:i/>
        </w:rPr>
        <w:t>, published as part of Trammell et al</w:t>
      </w:r>
      <w:r w:rsidR="00CA0EBC">
        <w:rPr>
          <w:i/>
        </w:rPr>
        <w:t>.</w:t>
      </w:r>
      <w:r>
        <w:rPr>
          <w:i/>
        </w:rPr>
        <w:t xml:space="preserve"> 2016</w:t>
      </w:r>
      <w:r w:rsidRPr="00AB5CA2">
        <w:rPr>
          <w:i/>
        </w:rPr>
        <w:t xml:space="preserve">). </w:t>
      </w:r>
    </w:p>
    <w:p w14:paraId="283E79DB" w14:textId="76176AFF" w:rsidR="00E5012A" w:rsidRPr="006A187C" w:rsidRDefault="00E5012A" w:rsidP="00E5012A">
      <w:pPr>
        <w:rPr>
          <w:b/>
          <w:sz w:val="24"/>
        </w:rPr>
      </w:pPr>
    </w:p>
    <w:p w14:paraId="41071FC5" w14:textId="1B70BF76" w:rsidR="00E5012A" w:rsidRPr="00237DB5" w:rsidRDefault="00E5012A" w:rsidP="00E5012A">
      <w:r w:rsidRPr="00237DB5">
        <w:t>A single-centre randomised, double-blind crossover study was undertaken using GCP to determine the pharmacokinetics of NR</w:t>
      </w:r>
      <w:r w:rsidR="0048242A">
        <w:t>C</w:t>
      </w:r>
      <w:r w:rsidRPr="00237DB5">
        <w:t xml:space="preserve"> and its metabolites after a single dose of either 100 mg, 300 mg or 1000 mg NR</w:t>
      </w:r>
      <w:r w:rsidR="0048242A">
        <w:t>C</w:t>
      </w:r>
      <w:r w:rsidRPr="00237DB5">
        <w:t xml:space="preserve"> (Wilson 2015 unpublished; Trammell et al. 2016). No placebo group was used in the study. Twelve healthy subjects (6 male and 6 female) received each dose with a </w:t>
      </w:r>
      <w:r>
        <w:t>seven</w:t>
      </w:r>
      <w:r w:rsidRPr="00237DB5">
        <w:t xml:space="preserve"> day washout between doses. NR and metabolites including Nam, MeNAM, NAD, NADP, NAR, 2-PY and 4-PY were measured in urine before the first dose and at 0-6, 6-12, and 12-24 h following dosing. Measurements in plasma and white blood cells (WBCs) were taken pre-dose and 1, 2, 4, 8, 12 and 24 h post-dose.  Pharmacokinetic parameters </w:t>
      </w:r>
      <w:r w:rsidR="0048242A" w:rsidRPr="00237DB5">
        <w:t>includ</w:t>
      </w:r>
      <w:r w:rsidR="0048242A">
        <w:t>ing</w:t>
      </w:r>
      <w:r w:rsidRPr="00237DB5">
        <w:t xml:space="preserve"> pre-dose corrected area under the curve AUC</w:t>
      </w:r>
      <w:r w:rsidRPr="00237DB5">
        <w:rPr>
          <w:vertAlign w:val="subscript"/>
        </w:rPr>
        <w:t xml:space="preserve">0-24 hr </w:t>
      </w:r>
      <w:r w:rsidRPr="00237DB5">
        <w:t>(</w:t>
      </w:r>
      <w:r w:rsidRPr="00237DB5">
        <w:rPr>
          <w:rFonts w:cs="Arial"/>
        </w:rPr>
        <w:t>µ</w:t>
      </w:r>
      <w:r w:rsidRPr="00237DB5">
        <w:t>mol.hr/L), maximum observed concentration C</w:t>
      </w:r>
      <w:r w:rsidRPr="00237DB5">
        <w:rPr>
          <w:vertAlign w:val="subscript"/>
        </w:rPr>
        <w:t xml:space="preserve">max </w:t>
      </w:r>
      <w:r w:rsidRPr="00237DB5">
        <w:t>(</w:t>
      </w:r>
      <w:r w:rsidRPr="00237DB5">
        <w:rPr>
          <w:rFonts w:cs="Arial"/>
        </w:rPr>
        <w:t>µ</w:t>
      </w:r>
      <w:r w:rsidRPr="00237DB5">
        <w:t>mol/L) and time of maximum concentration T</w:t>
      </w:r>
      <w:r w:rsidRPr="00237DB5">
        <w:rPr>
          <w:vertAlign w:val="subscript"/>
        </w:rPr>
        <w:t xml:space="preserve">max </w:t>
      </w:r>
      <w:r w:rsidRPr="00237DB5">
        <w:t xml:space="preserve">(h) were calculated for each subject-dosage combination. </w:t>
      </w:r>
    </w:p>
    <w:p w14:paraId="495AA94C" w14:textId="77777777" w:rsidR="00E5012A" w:rsidRPr="00237DB5" w:rsidRDefault="00E5012A" w:rsidP="00E5012A"/>
    <w:p w14:paraId="361DB58E" w14:textId="0A7AF4C6" w:rsidR="00E5012A" w:rsidRPr="00237DB5" w:rsidRDefault="00E5012A" w:rsidP="00E5012A">
      <w:r w:rsidRPr="00237DB5">
        <w:t>Plasma NR concentration did not significantly change in any group compared to pre-dose levels at any measured time</w:t>
      </w:r>
      <w:r w:rsidR="0048242A">
        <w:t xml:space="preserve"> </w:t>
      </w:r>
      <w:r w:rsidRPr="00237DB5">
        <w:t>point (p &gt; 0.05)</w:t>
      </w:r>
      <w:r w:rsidR="002434EE">
        <w:t>.</w:t>
      </w:r>
      <w:r w:rsidR="00D51234">
        <w:t xml:space="preserve"> </w:t>
      </w:r>
      <w:r w:rsidRPr="00237DB5">
        <w:t xml:space="preserve">Urinary NR concentrations significantly decreased compared to pre-dose levels in all dose groups at most time points (p &lt; 0.05).   </w:t>
      </w:r>
    </w:p>
    <w:p w14:paraId="2CCAE679" w14:textId="77777777" w:rsidR="00E5012A" w:rsidRPr="00237DB5" w:rsidRDefault="00E5012A" w:rsidP="00E5012A"/>
    <w:p w14:paraId="7EF87A48" w14:textId="6C5881E6" w:rsidR="00E5012A" w:rsidRPr="00237DB5" w:rsidRDefault="00E5012A" w:rsidP="00E5012A">
      <w:r w:rsidRPr="00237DB5">
        <w:t xml:space="preserve">Relative urinary Nam concentration increased significantly in the 1000 mg group compared to pre-dose levels (p &lt; 0.05) but decreased in the other dose groups compared to pre-dose levels. </w:t>
      </w:r>
    </w:p>
    <w:p w14:paraId="1D78238E" w14:textId="77777777" w:rsidR="00E5012A" w:rsidRPr="00237DB5" w:rsidRDefault="00E5012A" w:rsidP="00E5012A"/>
    <w:p w14:paraId="24F8BAC1" w14:textId="552F15E9" w:rsidR="00E5012A" w:rsidRPr="00237DB5" w:rsidRDefault="00E5012A" w:rsidP="00E5012A">
      <w:r w:rsidRPr="00237DB5">
        <w:t>Dose</w:t>
      </w:r>
      <w:r w:rsidR="002A42CB">
        <w:t>-</w:t>
      </w:r>
      <w:r w:rsidR="0048242A" w:rsidRPr="00237DB5">
        <w:t>depend</w:t>
      </w:r>
      <w:r w:rsidR="0048242A">
        <w:t>e</w:t>
      </w:r>
      <w:r w:rsidR="0048242A" w:rsidRPr="00237DB5">
        <w:t>nt</w:t>
      </w:r>
      <w:r w:rsidRPr="00237DB5">
        <w:t xml:space="preserve"> increases in MeNam concentration were observed </w:t>
      </w:r>
      <w:r w:rsidR="002A42CB">
        <w:t xml:space="preserve">in plasma </w:t>
      </w:r>
      <w:r w:rsidR="007F6E46">
        <w:t>(</w:t>
      </w:r>
      <w:r w:rsidRPr="00237DB5">
        <w:t>C</w:t>
      </w:r>
      <w:r w:rsidRPr="00237DB5">
        <w:rPr>
          <w:vertAlign w:val="subscript"/>
        </w:rPr>
        <w:t>max</w:t>
      </w:r>
      <w:r w:rsidRPr="00237DB5">
        <w:t xml:space="preserve"> 0.22 ± 0.19, 0.43 ± 0.33, 0.89 ± 0.62 µmol.h/L</w:t>
      </w:r>
      <w:r w:rsidR="007F6E46">
        <w:t>;</w:t>
      </w:r>
      <w:r w:rsidRPr="00237DB5">
        <w:t xml:space="preserve"> p &lt; 0.001</w:t>
      </w:r>
      <w:r w:rsidR="007F6E46">
        <w:t>)</w:t>
      </w:r>
      <w:r w:rsidR="002A42CB">
        <w:t xml:space="preserve"> and </w:t>
      </w:r>
      <w:r w:rsidRPr="00237DB5">
        <w:t xml:space="preserve">in white blood cells. Urinary MeNam concentrations </w:t>
      </w:r>
      <w:r w:rsidR="00330D85">
        <w:t>(</w:t>
      </w:r>
      <w:r w:rsidRPr="00237DB5">
        <w:t>standardised by creatinine</w:t>
      </w:r>
      <w:r w:rsidR="00330D85">
        <w:t>)</w:t>
      </w:r>
      <w:r w:rsidRPr="00237DB5">
        <w:t xml:space="preserve"> increased significantly in the 1000 mg group compared to pre-dose</w:t>
      </w:r>
      <w:r w:rsidR="00330D85">
        <w:t>,</w:t>
      </w:r>
      <w:r w:rsidRPr="00237DB5">
        <w:t xml:space="preserve"> but not in the 100</w:t>
      </w:r>
      <w:r w:rsidR="00F64BEA">
        <w:t xml:space="preserve"> </w:t>
      </w:r>
      <w:r w:rsidRPr="00237DB5">
        <w:t xml:space="preserve">mg or 300 mg groups. </w:t>
      </w:r>
    </w:p>
    <w:p w14:paraId="7521527B" w14:textId="77777777" w:rsidR="00E5012A" w:rsidRPr="00237DB5" w:rsidRDefault="00E5012A" w:rsidP="00E5012A"/>
    <w:p w14:paraId="1A6626C2" w14:textId="65B148E7" w:rsidR="00E5012A" w:rsidRPr="00237DB5" w:rsidRDefault="00125C7E" w:rsidP="00E5012A">
      <w:r>
        <w:lastRenderedPageBreak/>
        <w:t xml:space="preserve">2-PY </w:t>
      </w:r>
      <w:r w:rsidR="00E5012A" w:rsidRPr="00237DB5">
        <w:t>C</w:t>
      </w:r>
      <w:r w:rsidR="00E5012A" w:rsidRPr="00237DB5">
        <w:rPr>
          <w:vertAlign w:val="subscript"/>
        </w:rPr>
        <w:t>max</w:t>
      </w:r>
      <w:r w:rsidR="00E5012A" w:rsidRPr="00237DB5">
        <w:t xml:space="preserve"> increased </w:t>
      </w:r>
      <w:r w:rsidR="008E1154">
        <w:t xml:space="preserve">in a dose-dependent manner in plasma </w:t>
      </w:r>
      <w:r w:rsidR="00E5012A" w:rsidRPr="00237DB5">
        <w:t>(3.5 ± 1.3, 6.6 ± 2.0, 17.0 ± 5.0 µmol/L respectively, p &lt; 0.001) and white blood cells (2.7 ± 1.5, 6.4 ± 5.8, 12.9 ± 7.2 µmol/L; p &lt; 0.001).</w:t>
      </w:r>
    </w:p>
    <w:p w14:paraId="5BE98D82" w14:textId="77777777" w:rsidR="00E5012A" w:rsidRPr="00237DB5" w:rsidRDefault="00E5012A" w:rsidP="00E5012A">
      <w:pPr>
        <w:tabs>
          <w:tab w:val="left" w:pos="6497"/>
        </w:tabs>
      </w:pPr>
      <w:r w:rsidRPr="00237DB5">
        <w:tab/>
      </w:r>
    </w:p>
    <w:p w14:paraId="29E69470" w14:textId="38734EBB" w:rsidR="00E5012A" w:rsidRDefault="00E5012A" w:rsidP="00E5012A">
      <w:r w:rsidRPr="00237DB5">
        <w:t>A dose-response relationship was observed between NR</w:t>
      </w:r>
      <w:r w:rsidR="00853256">
        <w:t>C</w:t>
      </w:r>
      <w:r w:rsidRPr="00237DB5">
        <w:t xml:space="preserve"> dose and </w:t>
      </w:r>
      <w:r w:rsidR="00853256" w:rsidRPr="00237DB5">
        <w:t>4-PY</w:t>
      </w:r>
      <w:r w:rsidR="00853256">
        <w:t xml:space="preserve"> concentrations in</w:t>
      </w:r>
      <w:r w:rsidR="00853256" w:rsidRPr="00237DB5">
        <w:t xml:space="preserve"> </w:t>
      </w:r>
      <w:r w:rsidRPr="00237DB5">
        <w:t>plasma and WBC</w:t>
      </w:r>
      <w:r w:rsidR="00853256">
        <w:t>.</w:t>
      </w:r>
      <w:r>
        <w:t xml:space="preserve"> Plasma </w:t>
      </w:r>
      <w:r w:rsidRPr="00043233">
        <w:t>4-PY</w:t>
      </w:r>
      <w:r>
        <w:t xml:space="preserve"> C</w:t>
      </w:r>
      <w:r w:rsidRPr="00E229DF">
        <w:rPr>
          <w:vertAlign w:val="subscript"/>
        </w:rPr>
        <w:t>max</w:t>
      </w:r>
      <w:r>
        <w:t xml:space="preserve"> increased with increasing doses of NR :0.44 ± 0.35, 0.90 ± 0.37, 2.52 ± 0.64 </w:t>
      </w:r>
      <w:r w:rsidRPr="00043233">
        <w:t xml:space="preserve">µmol/L </w:t>
      </w:r>
      <w:r>
        <w:t>respectively for the 100</w:t>
      </w:r>
      <w:r w:rsidR="008E1154">
        <w:t xml:space="preserve"> </w:t>
      </w:r>
      <w:r>
        <w:t>mg, 300 mg and 1000</w:t>
      </w:r>
      <w:r w:rsidR="008E1154">
        <w:t xml:space="preserve"> </w:t>
      </w:r>
      <w:r>
        <w:t xml:space="preserve">mg doses (p  &lt; 0.001) and WBC </w:t>
      </w:r>
      <w:r w:rsidRPr="00043233">
        <w:t>4-PY</w:t>
      </w:r>
      <w:r>
        <w:t xml:space="preserve"> C</w:t>
      </w:r>
      <w:r w:rsidRPr="00E229DF">
        <w:rPr>
          <w:vertAlign w:val="subscript"/>
        </w:rPr>
        <w:t>max</w:t>
      </w:r>
      <w:r>
        <w:t xml:space="preserve"> :0.42 ± 0.22, 0.94 ± 0.59, 1.91 ± 1.22 </w:t>
      </w:r>
      <w:r w:rsidRPr="00043233">
        <w:t>µmol/L</w:t>
      </w:r>
      <w:r>
        <w:t xml:space="preserve"> respectively (p &lt; 0.001).</w:t>
      </w:r>
    </w:p>
    <w:p w14:paraId="0DD948DC" w14:textId="77777777" w:rsidR="00E5012A" w:rsidRDefault="00E5012A" w:rsidP="00E5012A">
      <w:pPr>
        <w:tabs>
          <w:tab w:val="left" w:pos="6742"/>
        </w:tabs>
      </w:pPr>
      <w:r>
        <w:tab/>
      </w:r>
    </w:p>
    <w:p w14:paraId="63CCCDED" w14:textId="77777777" w:rsidR="00E5012A" w:rsidRPr="00237DB5" w:rsidRDefault="00E5012A" w:rsidP="00E5012A">
      <w:r w:rsidRPr="00237DB5">
        <w:t xml:space="preserve">Urinary NAD concentrations decreased in all groups at all measured time points compared to pre-dose levels. Plasma and WBC NAD concentrations did not show a consistent pattern compared to pre-dose levels across groups, and were not significantly different at most time points (p &gt; 0.05). </w:t>
      </w:r>
    </w:p>
    <w:p w14:paraId="4304EB2B" w14:textId="77777777" w:rsidR="00E5012A" w:rsidRPr="00237DB5" w:rsidRDefault="00E5012A" w:rsidP="00E5012A"/>
    <w:p w14:paraId="2EBEA3F1" w14:textId="6307377D" w:rsidR="00E5012A" w:rsidRPr="00237DB5" w:rsidRDefault="00E5012A" w:rsidP="00E5012A">
      <w:r w:rsidRPr="00237DB5">
        <w:t>White blood cell and urine NADP concentrations standardised by creatinine were not significantly different to pre-dose levels in all NR</w:t>
      </w:r>
      <w:r w:rsidR="00406548">
        <w:t>C</w:t>
      </w:r>
      <w:r w:rsidRPr="00237DB5">
        <w:t xml:space="preserve"> groups at any time point (p &gt; 0.05). </w:t>
      </w:r>
    </w:p>
    <w:p w14:paraId="62A42DCA" w14:textId="77777777" w:rsidR="00E5012A" w:rsidRPr="00237DB5" w:rsidRDefault="00E5012A" w:rsidP="00E5012A">
      <w:r>
        <w:t>White blood cell NA</w:t>
      </w:r>
      <w:r w:rsidRPr="00237DB5">
        <w:t xml:space="preserve">AD concentrations increased in all groups 4 and 8 hours after dosing compared to pre-dose levels, reaching significance at 4 and 8 hours in the 300 mg group, and at 24 hours in the 1000 mg group. </w:t>
      </w:r>
    </w:p>
    <w:p w14:paraId="4F7D8509" w14:textId="77777777" w:rsidR="00E5012A" w:rsidRPr="00237DB5" w:rsidRDefault="00E5012A" w:rsidP="00E5012A"/>
    <w:p w14:paraId="1D657E44" w14:textId="1B68DE2D" w:rsidR="00E5012A" w:rsidRPr="00237DB5" w:rsidRDefault="00E5012A" w:rsidP="00E5012A">
      <w:r w:rsidRPr="00237DB5">
        <w:t xml:space="preserve">Urinary NMN concentration standardised by creatinine decreased compared to pre-dose levels in all groups, reaching significance at most time points up to 12 hours (p </w:t>
      </w:r>
      <w:r w:rsidR="00726B4B">
        <w:rPr>
          <w:rFonts w:cs="Arial"/>
        </w:rPr>
        <w:t>≤</w:t>
      </w:r>
      <w:r w:rsidRPr="00237DB5">
        <w:t xml:space="preserve"> 0.003). White blood cell NMN concentrations did not show a consistent pattern compared to pre-dose levels across groups, and were not significantly different at any time points (p &gt; 0.05).</w:t>
      </w:r>
    </w:p>
    <w:p w14:paraId="59A9C1EE" w14:textId="77777777" w:rsidR="00E5012A" w:rsidRPr="00237DB5" w:rsidRDefault="00E5012A" w:rsidP="00E5012A"/>
    <w:p w14:paraId="2F4F8153" w14:textId="1DD7FD25" w:rsidR="00EB2737" w:rsidRDefault="00E5012A" w:rsidP="00E5012A">
      <w:r w:rsidRPr="00237DB5">
        <w:t>Urinary NAR concentration standardised by creatinine increased in all groups compared to pre-dose levels 6-24 hours afte</w:t>
      </w:r>
      <w:r>
        <w:t>r dosing (p &lt; 0.05</w:t>
      </w:r>
      <w:r w:rsidRPr="00237DB5">
        <w:t>). Plasma NAR concentration was higher in the 300</w:t>
      </w:r>
      <w:r w:rsidR="009D000A">
        <w:t xml:space="preserve"> </w:t>
      </w:r>
      <w:r w:rsidRPr="00237DB5">
        <w:t>mg and 1000 mg groups 8 hours after dosing (p &lt; 0.05), with AUC</w:t>
      </w:r>
      <w:r w:rsidRPr="00237DB5">
        <w:rPr>
          <w:vertAlign w:val="subscript"/>
        </w:rPr>
        <w:t>0-24h</w:t>
      </w:r>
      <w:r w:rsidRPr="00237DB5">
        <w:t xml:space="preserve"> 0.48 ± 0.01, 0.62 ± 0.19 and 1.22 ± 1.00; p = 0.002. </w:t>
      </w:r>
    </w:p>
    <w:p w14:paraId="235BCA1E" w14:textId="77777777" w:rsidR="00EB2737" w:rsidRDefault="00EB2737" w:rsidP="00E5012A"/>
    <w:p w14:paraId="1A90A6BE" w14:textId="2B1B21C9" w:rsidR="00EB2737" w:rsidRPr="009F6D17" w:rsidRDefault="00EB2737" w:rsidP="00EB2737">
      <w:pPr>
        <w:rPr>
          <w:rFonts w:cs="Arial"/>
          <w:i/>
        </w:rPr>
      </w:pPr>
      <w:r w:rsidRPr="009F6D17">
        <w:rPr>
          <w:rFonts w:cs="Arial"/>
          <w:i/>
        </w:rPr>
        <w:t>Seven day repeat-dose study in a human volunteer (Trammell et al</w:t>
      </w:r>
      <w:r w:rsidR="00CA0EBC">
        <w:rPr>
          <w:rFonts w:cs="Arial"/>
          <w:i/>
        </w:rPr>
        <w:t>.</w:t>
      </w:r>
      <w:r w:rsidRPr="009F6D17">
        <w:rPr>
          <w:rFonts w:cs="Arial"/>
          <w:i/>
        </w:rPr>
        <w:t xml:space="preserve"> 2016) Regulatory status: Not GCP</w:t>
      </w:r>
    </w:p>
    <w:p w14:paraId="3A599673" w14:textId="77777777" w:rsidR="00EB2737" w:rsidRDefault="00EB2737" w:rsidP="00EB2737">
      <w:pPr>
        <w:rPr>
          <w:i/>
        </w:rPr>
      </w:pPr>
    </w:p>
    <w:p w14:paraId="6081AF63" w14:textId="46BB6C24" w:rsidR="00E5012A" w:rsidRPr="00237DB5" w:rsidRDefault="00EB2737" w:rsidP="00E5012A">
      <w:r w:rsidRPr="00B0336F">
        <w:t xml:space="preserve">A healthy 52-year-old man, weighing 65 kg, </w:t>
      </w:r>
      <w:r>
        <w:t xml:space="preserve">took nicotinamide riboside </w:t>
      </w:r>
      <w:r w:rsidR="000205EB">
        <w:t xml:space="preserve">chloride </w:t>
      </w:r>
      <w:r>
        <w:t xml:space="preserve">each morning prior to </w:t>
      </w:r>
      <w:r w:rsidR="00503F6D">
        <w:t>breakfast</w:t>
      </w:r>
      <w:r>
        <w:t xml:space="preserve">, for seven consecutive days. </w:t>
      </w:r>
      <w:r w:rsidR="000A59D4">
        <w:t>The dose level was reported to be 1000 mg, however</w:t>
      </w:r>
      <w:r>
        <w:t xml:space="preserve"> it is not clear whether the dose was 1000 mg </w:t>
      </w:r>
      <w:r w:rsidR="006A790E">
        <w:t>NRC</w:t>
      </w:r>
      <w:r>
        <w:t xml:space="preserve">, or adjusted so that he consumed 1000 mg </w:t>
      </w:r>
      <w:r w:rsidR="00864249">
        <w:t xml:space="preserve">nicotinamide </w:t>
      </w:r>
      <w:r>
        <w:t>riboside. Pre-supplementation blood and urine samples were collected. On the first day of study, blood was collected prior to dose ingestion and at 0.6, 1, 1.14, 2.7, 4.1, 7.7 and 8.1 h post</w:t>
      </w:r>
      <w:r w:rsidR="00616283">
        <w:t xml:space="preserve"> </w:t>
      </w:r>
      <w:r>
        <w:t>dose. Blood was also collected 24 h after the first and the last dose. No changes in NAD</w:t>
      </w:r>
      <w:r>
        <w:rPr>
          <w:vertAlign w:val="superscript"/>
        </w:rPr>
        <w:t xml:space="preserve">+ </w:t>
      </w:r>
      <w:r>
        <w:t>or metabolites were observed in the first 2.7 h, but from 4.1 h after the first dose, NAD</w:t>
      </w:r>
      <w:r>
        <w:rPr>
          <w:vertAlign w:val="superscript"/>
        </w:rPr>
        <w:t xml:space="preserve">+ </w:t>
      </w:r>
      <w:r>
        <w:t xml:space="preserve">was increased in peripheral blood mononuclear cells by a factor of 2.3, and </w:t>
      </w:r>
      <w:r w:rsidR="00D51234">
        <w:t xml:space="preserve">a number of </w:t>
      </w:r>
      <w:r>
        <w:t>metabolites of NAD</w:t>
      </w:r>
      <w:r>
        <w:rPr>
          <w:vertAlign w:val="superscript"/>
        </w:rPr>
        <w:t>+</w:t>
      </w:r>
      <w:r w:rsidR="00A224DF">
        <w:rPr>
          <w:vertAlign w:val="superscript"/>
        </w:rPr>
        <w:t xml:space="preserve"> </w:t>
      </w:r>
      <w:r>
        <w:t>(including NMN, Nam, 4-PY, MeNam, NAAD, NAD</w:t>
      </w:r>
      <w:r w:rsidRPr="00EB2737">
        <w:rPr>
          <w:vertAlign w:val="superscript"/>
        </w:rPr>
        <w:t>+</w:t>
      </w:r>
      <w:r>
        <w:t>, NADP</w:t>
      </w:r>
      <w:r w:rsidRPr="00EB2737">
        <w:rPr>
          <w:vertAlign w:val="superscript"/>
        </w:rPr>
        <w:t>+</w:t>
      </w:r>
      <w:r>
        <w:t>, 2-PY and ADPR) also increased, peaking between 5</w:t>
      </w:r>
      <w:r w:rsidR="00DB10A1">
        <w:t xml:space="preserve"> and 10 h after dose ingestion.</w:t>
      </w:r>
    </w:p>
    <w:p w14:paraId="24DACEC7" w14:textId="6E5A062A" w:rsidR="00E5012A" w:rsidRDefault="00CA5D21" w:rsidP="00CA5D21">
      <w:pPr>
        <w:pStyle w:val="Heading3"/>
        <w:ind w:left="851" w:hanging="851"/>
      </w:pPr>
      <w:bookmarkStart w:id="144" w:name="_Toc65509062"/>
      <w:bookmarkStart w:id="145" w:name="_Toc65578799"/>
      <w:bookmarkStart w:id="146" w:name="_Toc65587193"/>
      <w:bookmarkStart w:id="147" w:name="_Toc65587163"/>
      <w:bookmarkStart w:id="148" w:name="_Toc65682772"/>
      <w:bookmarkStart w:id="149" w:name="_Toc65764313"/>
      <w:bookmarkStart w:id="150" w:name="_Toc65764646"/>
      <w:bookmarkStart w:id="151" w:name="_Toc65841215"/>
      <w:bookmarkStart w:id="152" w:name="_Toc66443230"/>
      <w:bookmarkStart w:id="153" w:name="_Toc66436786"/>
      <w:bookmarkStart w:id="154" w:name="_Toc66458138"/>
      <w:bookmarkStart w:id="155" w:name="_Toc66451412"/>
      <w:bookmarkStart w:id="156" w:name="_Toc66458805"/>
      <w:bookmarkStart w:id="157" w:name="_Toc66458938"/>
      <w:bookmarkStart w:id="158" w:name="_Toc66461633"/>
      <w:bookmarkStart w:id="159" w:name="_Toc69899740"/>
      <w:r>
        <w:t>2.4</w:t>
      </w:r>
      <w:r w:rsidR="00F503C9">
        <w:t xml:space="preserve">.2 </w:t>
      </w:r>
      <w:r w:rsidR="00E5012A" w:rsidRPr="006B49BF">
        <w:t>Animal Studies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00E5012A" w:rsidRPr="006B49BF">
        <w:t xml:space="preserve"> </w:t>
      </w:r>
    </w:p>
    <w:p w14:paraId="072CD569" w14:textId="3B0E04A5" w:rsidR="009D72D8" w:rsidRPr="00864249" w:rsidRDefault="009D72D8" w:rsidP="009D72D8">
      <w:pPr>
        <w:rPr>
          <w:i/>
          <w:color w:val="FF0000"/>
        </w:rPr>
      </w:pPr>
      <w:r w:rsidRPr="006B5A24">
        <w:rPr>
          <w:i/>
        </w:rPr>
        <w:t>Toxicokinetics assessment of NRC in rats</w:t>
      </w:r>
      <w:r w:rsidRPr="00BB1DB8">
        <w:rPr>
          <w:i/>
          <w:color w:val="000000" w:themeColor="text1"/>
        </w:rPr>
        <w:t>.</w:t>
      </w:r>
      <w:r w:rsidRPr="0033116F">
        <w:rPr>
          <w:i/>
          <w:color w:val="0070C0"/>
        </w:rPr>
        <w:t xml:space="preserve"> </w:t>
      </w:r>
      <w:r w:rsidRPr="006B5A24">
        <w:rPr>
          <w:i/>
        </w:rPr>
        <w:t>Avery</w:t>
      </w:r>
      <w:r w:rsidRPr="0033116F">
        <w:rPr>
          <w:i/>
          <w:color w:val="0070C0"/>
        </w:rPr>
        <w:t xml:space="preserve"> </w:t>
      </w:r>
      <w:r w:rsidR="00330D85" w:rsidRPr="00BB1DB8">
        <w:rPr>
          <w:i/>
          <w:color w:val="000000" w:themeColor="text1"/>
        </w:rPr>
        <w:t>(</w:t>
      </w:r>
      <w:r w:rsidRPr="006B5A24">
        <w:rPr>
          <w:i/>
        </w:rPr>
        <w:t>2017</w:t>
      </w:r>
      <w:r w:rsidR="00330D85">
        <w:rPr>
          <w:i/>
        </w:rPr>
        <w:t>).</w:t>
      </w:r>
    </w:p>
    <w:p w14:paraId="4241F7C7" w14:textId="77777777" w:rsidR="00E5012A" w:rsidRPr="00FB631F" w:rsidRDefault="00E5012A" w:rsidP="00E5012A">
      <w:pPr>
        <w:rPr>
          <w:b/>
          <w:color w:val="FF0000"/>
          <w:sz w:val="24"/>
        </w:rPr>
      </w:pPr>
    </w:p>
    <w:p w14:paraId="0C0044D2" w14:textId="4D394DD7" w:rsidR="009D72D8" w:rsidRPr="00864249" w:rsidRDefault="00E5012A" w:rsidP="009D72D8">
      <w:pPr>
        <w:rPr>
          <w:color w:val="FF0000"/>
        </w:rPr>
      </w:pPr>
      <w:r w:rsidRPr="00AB58EC">
        <w:lastRenderedPageBreak/>
        <w:t>A</w:t>
      </w:r>
      <w:r w:rsidRPr="00BB35B0">
        <w:rPr>
          <w:color w:val="FF0000"/>
        </w:rPr>
        <w:t xml:space="preserve"> </w:t>
      </w:r>
      <w:r w:rsidRPr="00BB35B0">
        <w:t xml:space="preserve">toxicokinetic analysis of plasma </w:t>
      </w:r>
      <w:r>
        <w:t xml:space="preserve">Nam </w:t>
      </w:r>
      <w:r w:rsidRPr="00BB35B0">
        <w:t xml:space="preserve">and </w:t>
      </w:r>
      <w:r>
        <w:t>MeNam</w:t>
      </w:r>
      <w:r w:rsidRPr="00BB35B0">
        <w:t xml:space="preserve"> concentrations was undertaken in a 90-day study in rats </w:t>
      </w:r>
      <w:r w:rsidR="0043450B">
        <w:t xml:space="preserve">gavaged </w:t>
      </w:r>
      <w:r w:rsidRPr="00BB35B0">
        <w:t>with NR</w:t>
      </w:r>
      <w:r w:rsidR="009D72D8">
        <w:t>C</w:t>
      </w:r>
      <w:r w:rsidR="00A224DF">
        <w:t xml:space="preserve"> </w:t>
      </w:r>
      <w:r w:rsidR="00705A3C">
        <w:t xml:space="preserve">(1000 mg/kg bw/day) </w:t>
      </w:r>
      <w:r w:rsidR="00A224DF">
        <w:t xml:space="preserve">or </w:t>
      </w:r>
      <w:r w:rsidR="00705A3C">
        <w:t xml:space="preserve">a </w:t>
      </w:r>
      <w:r w:rsidR="00705A3C" w:rsidRPr="00705A3C">
        <w:t xml:space="preserve">molar equivalent of </w:t>
      </w:r>
      <w:r w:rsidR="00A224DF">
        <w:t>nicotinamide</w:t>
      </w:r>
      <w:r w:rsidR="00705A3C">
        <w:t xml:space="preserve"> </w:t>
      </w:r>
      <w:r w:rsidR="00705A3C" w:rsidRPr="00705A3C">
        <w:t>(420 mg/kg bw/day</w:t>
      </w:r>
      <w:r w:rsidR="00705A3C">
        <w:t>).</w:t>
      </w:r>
      <w:r w:rsidR="009D72D8" w:rsidRPr="00534D8F">
        <w:t xml:space="preserve"> </w:t>
      </w:r>
      <w:r w:rsidR="009D72D8" w:rsidRPr="0033116F">
        <w:t xml:space="preserve">Blood was collected before </w:t>
      </w:r>
      <w:r w:rsidR="00705A3C">
        <w:t xml:space="preserve">dosing </w:t>
      </w:r>
      <w:r w:rsidR="009D72D8" w:rsidRPr="0033116F">
        <w:t>and 0.5, 1, 2, 4, 6, 8, 12 and 24 hours after dosing</w:t>
      </w:r>
      <w:r w:rsidR="00705A3C" w:rsidRPr="00BB1DB8">
        <w:rPr>
          <w:color w:val="000000" w:themeColor="text1"/>
        </w:rPr>
        <w:t>.</w:t>
      </w:r>
    </w:p>
    <w:p w14:paraId="77CB55BF" w14:textId="5E6AD0C0" w:rsidR="00E5012A" w:rsidRPr="00BB35B0" w:rsidRDefault="00E5012A" w:rsidP="00E5012A"/>
    <w:p w14:paraId="3C3AAA16" w14:textId="58A3BEAC" w:rsidR="00E5012A" w:rsidRPr="00B47004" w:rsidRDefault="00E5012A" w:rsidP="00E5012A">
      <w:r w:rsidRPr="00B47004">
        <w:t>On Day 1, Nam and MeNam concentration</w:t>
      </w:r>
      <w:r w:rsidR="0043450B">
        <w:t>s</w:t>
      </w:r>
      <w:r w:rsidRPr="00B47004">
        <w:t xml:space="preserve"> increased in both treatment groups 30 min after dosing. </w:t>
      </w:r>
      <w:r w:rsidRPr="006A187C">
        <w:t>Nam</w:t>
      </w:r>
      <w:r w:rsidRPr="00B47004">
        <w:rPr>
          <w:b/>
        </w:rPr>
        <w:t xml:space="preserve"> </w:t>
      </w:r>
      <w:r w:rsidRPr="00B47004">
        <w:t>concentration peaked later in the NR</w:t>
      </w:r>
      <w:r w:rsidR="009D72D8">
        <w:t>C</w:t>
      </w:r>
      <w:r w:rsidRPr="00B47004">
        <w:t xml:space="preserve"> group compared to the Nam treatment group in both males and females (T</w:t>
      </w:r>
      <w:r w:rsidRPr="00B47004">
        <w:rPr>
          <w:vertAlign w:val="subscript"/>
        </w:rPr>
        <w:t>max</w:t>
      </w:r>
      <w:r w:rsidRPr="00B47004">
        <w:t xml:space="preserve"> males: 6.0 ± 0.0 hr vs 0.67 ± 0.17; T</w:t>
      </w:r>
      <w:r w:rsidRPr="00B47004">
        <w:rPr>
          <w:vertAlign w:val="subscript"/>
        </w:rPr>
        <w:t>max</w:t>
      </w:r>
      <w:r w:rsidRPr="00B47004">
        <w:t xml:space="preserve"> females: 6.7 ± 0.7 hr vs 1.0 ± 0.0 hr), with the C</w:t>
      </w:r>
      <w:r w:rsidRPr="00B47004">
        <w:rPr>
          <w:vertAlign w:val="subscript"/>
        </w:rPr>
        <w:t>max</w:t>
      </w:r>
      <w:r w:rsidRPr="00B47004">
        <w:t xml:space="preserve"> lower in the NR</w:t>
      </w:r>
      <w:r w:rsidR="009D72D8">
        <w:t>C</w:t>
      </w:r>
      <w:r w:rsidRPr="00B47004">
        <w:t xml:space="preserve"> group compared to the Nam treatment group (C</w:t>
      </w:r>
      <w:r w:rsidRPr="00B47004">
        <w:rPr>
          <w:vertAlign w:val="subscript"/>
        </w:rPr>
        <w:t>max</w:t>
      </w:r>
      <w:r w:rsidRPr="00B47004">
        <w:t xml:space="preserve"> males:154.8 ±13.9 vs 249.8 ± 8.6 ug/mL; C</w:t>
      </w:r>
      <w:r w:rsidRPr="00B47004">
        <w:rPr>
          <w:vertAlign w:val="subscript"/>
        </w:rPr>
        <w:t>max</w:t>
      </w:r>
      <w:r w:rsidRPr="00B47004">
        <w:t xml:space="preserve"> females 118.7 ± 1.6 vs 385.4 ± 15.6 ug/mL). Systemic exposure to </w:t>
      </w:r>
      <w:r w:rsidRPr="006A187C">
        <w:t>Nam</w:t>
      </w:r>
      <w:r w:rsidRPr="00B47004">
        <w:t xml:space="preserve"> on Day 1 was lower in the NR</w:t>
      </w:r>
      <w:r w:rsidR="009D72D8">
        <w:t>C</w:t>
      </w:r>
      <w:r w:rsidRPr="00B47004">
        <w:t>-treated rats compared to the Nam group (</w:t>
      </w:r>
      <w:r w:rsidRPr="00B47004">
        <w:rPr>
          <w:lang w:val="en"/>
        </w:rPr>
        <w:t>AUC</w:t>
      </w:r>
      <w:r w:rsidRPr="00B47004">
        <w:rPr>
          <w:vertAlign w:val="subscript"/>
          <w:lang w:val="en"/>
        </w:rPr>
        <w:t>last</w:t>
      </w:r>
      <w:r w:rsidRPr="00B47004">
        <w:rPr>
          <w:lang w:val="en"/>
        </w:rPr>
        <w:t xml:space="preserve"> males: 1271.3 ± 121.7 vs 1713.0 ± 26.1 h*μg/mL; AUC</w:t>
      </w:r>
      <w:r w:rsidRPr="00B47004">
        <w:rPr>
          <w:vertAlign w:val="subscript"/>
          <w:lang w:val="en"/>
        </w:rPr>
        <w:t>last</w:t>
      </w:r>
      <w:r w:rsidRPr="00B47004">
        <w:rPr>
          <w:lang w:val="en"/>
        </w:rPr>
        <w:t xml:space="preserve"> females: 882.4 ± 109.3 vs 1872.7 ± 56.8 h*μg/mL</w:t>
      </w:r>
      <w:r w:rsidRPr="00B47004">
        <w:t>).</w:t>
      </w:r>
      <w:r>
        <w:t xml:space="preserve"> </w:t>
      </w:r>
      <w:r w:rsidRPr="00B47004">
        <w:t xml:space="preserve">Similar plasma </w:t>
      </w:r>
      <w:r w:rsidRPr="006A187C">
        <w:t>MeNam</w:t>
      </w:r>
      <w:r w:rsidRPr="00B47004">
        <w:t xml:space="preserve"> maximum concentrations were observed in the NR</w:t>
      </w:r>
      <w:r w:rsidR="009D72D8">
        <w:t>C</w:t>
      </w:r>
      <w:r w:rsidRPr="00B47004">
        <w:t xml:space="preserve"> and Nam groups (</w:t>
      </w:r>
      <w:r w:rsidRPr="00B47004">
        <w:rPr>
          <w:lang w:val="en"/>
        </w:rPr>
        <w:t>C</w:t>
      </w:r>
      <w:r w:rsidRPr="00B47004">
        <w:rPr>
          <w:vertAlign w:val="subscript"/>
          <w:lang w:val="en"/>
        </w:rPr>
        <w:t>max</w:t>
      </w:r>
      <w:r w:rsidRPr="00B47004">
        <w:rPr>
          <w:lang w:val="en"/>
        </w:rPr>
        <w:t xml:space="preserve"> males: 4.4 ± 1.3 vs 3.5 ± 0.2 (mean ± SEM) μg/mL; C</w:t>
      </w:r>
      <w:r w:rsidRPr="00B47004">
        <w:rPr>
          <w:vertAlign w:val="subscript"/>
          <w:lang w:val="en"/>
        </w:rPr>
        <w:t>max</w:t>
      </w:r>
      <w:r w:rsidRPr="00B47004">
        <w:rPr>
          <w:lang w:val="en"/>
        </w:rPr>
        <w:t xml:space="preserve"> females: 2.6 ± 0.2 vs 2.5 ± 0.1 μg/mL). Systemic exposures to </w:t>
      </w:r>
      <w:r w:rsidRPr="006A187C">
        <w:rPr>
          <w:lang w:val="en"/>
        </w:rPr>
        <w:t>MeNam</w:t>
      </w:r>
      <w:r w:rsidRPr="00B47004">
        <w:rPr>
          <w:lang w:val="en"/>
        </w:rPr>
        <w:t xml:space="preserve"> were also similar in both groups (AUC</w:t>
      </w:r>
      <w:r w:rsidRPr="00B47004">
        <w:rPr>
          <w:vertAlign w:val="subscript"/>
          <w:lang w:val="en"/>
        </w:rPr>
        <w:t>last</w:t>
      </w:r>
      <w:r w:rsidRPr="00B47004">
        <w:rPr>
          <w:lang w:val="en"/>
        </w:rPr>
        <w:t xml:space="preserve"> males: 62.5 ± 3.0 h*μg/mL vs 70.2 ± 1.2 h*μg/mL; AUC</w:t>
      </w:r>
      <w:r w:rsidRPr="00B47004">
        <w:rPr>
          <w:vertAlign w:val="subscript"/>
          <w:lang w:val="en"/>
        </w:rPr>
        <w:t>last</w:t>
      </w:r>
      <w:r w:rsidRPr="00B47004">
        <w:rPr>
          <w:lang w:val="en"/>
        </w:rPr>
        <w:t xml:space="preserve"> females: 39.4 ± 0.9 vs 41.2 ± 0.9 h*μg/mL in the NR</w:t>
      </w:r>
      <w:r w:rsidR="009D72D8">
        <w:rPr>
          <w:lang w:val="en"/>
        </w:rPr>
        <w:t>C</w:t>
      </w:r>
      <w:r w:rsidRPr="00B47004">
        <w:rPr>
          <w:lang w:val="en"/>
        </w:rPr>
        <w:t xml:space="preserve"> and Nam groups respectively)</w:t>
      </w:r>
      <w:r w:rsidRPr="00B47004">
        <w:t xml:space="preserve">. Plasma </w:t>
      </w:r>
      <w:r w:rsidRPr="006A187C">
        <w:t>MeNam</w:t>
      </w:r>
      <w:r w:rsidRPr="00B47004">
        <w:t xml:space="preserve"> concentrations peaked earlier in the NR</w:t>
      </w:r>
      <w:r w:rsidR="009D72D8">
        <w:t>C</w:t>
      </w:r>
      <w:r w:rsidRPr="00B47004">
        <w:t xml:space="preserve"> group compared to the Nam group (T</w:t>
      </w:r>
      <w:r w:rsidRPr="00B47004">
        <w:rPr>
          <w:vertAlign w:val="subscript"/>
        </w:rPr>
        <w:t>max</w:t>
      </w:r>
      <w:r w:rsidRPr="00B47004">
        <w:t xml:space="preserve"> males: 7.0 ± 3.2 vs 10.7 ± 1.3 hr; T</w:t>
      </w:r>
      <w:r w:rsidRPr="00B47004">
        <w:rPr>
          <w:vertAlign w:val="subscript"/>
        </w:rPr>
        <w:t>max</w:t>
      </w:r>
      <w:r w:rsidRPr="00B47004">
        <w:t xml:space="preserve"> females: 1.5 ± 0.5 hr vs 6.2 ± 3.3 hr). </w:t>
      </w:r>
    </w:p>
    <w:p w14:paraId="319BDFF7" w14:textId="77777777" w:rsidR="00E5012A" w:rsidRPr="00BB35B0" w:rsidRDefault="00E5012A" w:rsidP="00E5012A"/>
    <w:p w14:paraId="496F6598" w14:textId="4B5DA396" w:rsidR="00E5012A" w:rsidRDefault="00E5012A" w:rsidP="00E5012A">
      <w:r w:rsidRPr="00B47004">
        <w:t>Nam systemic exposure was lower in the NR</w:t>
      </w:r>
      <w:r w:rsidR="009D72D8">
        <w:t>C</w:t>
      </w:r>
      <w:r w:rsidRPr="00B47004">
        <w:t>-treated rats compared to the Nam group (</w:t>
      </w:r>
      <w:r w:rsidRPr="00B47004">
        <w:rPr>
          <w:lang w:val="en"/>
        </w:rPr>
        <w:t>AUC</w:t>
      </w:r>
      <w:r w:rsidRPr="00B47004">
        <w:rPr>
          <w:vertAlign w:val="subscript"/>
          <w:lang w:val="en"/>
        </w:rPr>
        <w:t>last</w:t>
      </w:r>
      <w:r w:rsidRPr="00B47004">
        <w:rPr>
          <w:lang w:val="en"/>
        </w:rPr>
        <w:t xml:space="preserve"> males: 2222.5 ± 113.8 vs 4146.5 ± 132.6 h*μg/mL; AUC</w:t>
      </w:r>
      <w:r w:rsidRPr="00B47004">
        <w:rPr>
          <w:vertAlign w:val="subscript"/>
          <w:lang w:val="en"/>
        </w:rPr>
        <w:t>last</w:t>
      </w:r>
      <w:r w:rsidRPr="00B47004">
        <w:rPr>
          <w:lang w:val="en"/>
        </w:rPr>
        <w:t xml:space="preserve"> females: 1931.5 ± 80.8 vs 3118.5 ± 69.8 h*μg/mL</w:t>
      </w:r>
      <w:r w:rsidRPr="00B47004">
        <w:t xml:space="preserve">). </w:t>
      </w:r>
      <w:r>
        <w:t xml:space="preserve">However, the maximum concentration </w:t>
      </w:r>
      <w:r w:rsidRPr="00BB35B0">
        <w:t xml:space="preserve">of </w:t>
      </w:r>
      <w:r w:rsidRPr="00B47004">
        <w:t>MeNam</w:t>
      </w:r>
      <w:r w:rsidRPr="00BB35B0">
        <w:t xml:space="preserve"> </w:t>
      </w:r>
      <w:r>
        <w:t>was similar for NR</w:t>
      </w:r>
      <w:r w:rsidR="009D72D8">
        <w:t>C</w:t>
      </w:r>
      <w:r w:rsidRPr="00BB35B0">
        <w:t xml:space="preserve"> and </w:t>
      </w:r>
      <w:r>
        <w:t>Nam</w:t>
      </w:r>
      <w:r w:rsidRPr="00BB35B0">
        <w:t xml:space="preserve"> groups </w:t>
      </w:r>
      <w:r>
        <w:t>on Day 90</w:t>
      </w:r>
      <w:r w:rsidR="0043450B">
        <w:t>.</w:t>
      </w:r>
      <w:r>
        <w:t xml:space="preserve"> </w:t>
      </w:r>
    </w:p>
    <w:p w14:paraId="6259955F" w14:textId="360E2716" w:rsidR="00562268" w:rsidRDefault="00562268" w:rsidP="00E5012A"/>
    <w:p w14:paraId="629DB4DA" w14:textId="6A18CD70" w:rsidR="00562268" w:rsidRDefault="00562268" w:rsidP="00E5012A">
      <w:pPr>
        <w:rPr>
          <w:rFonts w:cs="Arial"/>
        </w:rPr>
      </w:pPr>
      <w:r>
        <w:t xml:space="preserve">Additional animal studies were provided for assessment but cannot be disclosed </w:t>
      </w:r>
      <w:r>
        <w:rPr>
          <w:rFonts w:cs="Arial"/>
        </w:rPr>
        <w:t>because it is confidential commercial information (CCI). The toxicokinetics of NRC was adequately demonstrated.</w:t>
      </w:r>
    </w:p>
    <w:p w14:paraId="012A9148" w14:textId="77777777" w:rsidR="00562268" w:rsidRDefault="00562268" w:rsidP="00E5012A"/>
    <w:p w14:paraId="20C4E8FF" w14:textId="2BC7A4D2" w:rsidR="00543B9C" w:rsidRDefault="00543B9C" w:rsidP="00543B9C">
      <w:pPr>
        <w:rPr>
          <w:i/>
        </w:rPr>
      </w:pPr>
      <w:r w:rsidRPr="00CE58FA">
        <w:t xml:space="preserve">In vitro </w:t>
      </w:r>
      <w:r w:rsidRPr="00CC420E">
        <w:rPr>
          <w:i/>
        </w:rPr>
        <w:t>and</w:t>
      </w:r>
      <w:r>
        <w:t xml:space="preserve"> in vivo </w:t>
      </w:r>
      <w:r w:rsidRPr="00CE58FA">
        <w:rPr>
          <w:i/>
        </w:rPr>
        <w:t xml:space="preserve">studies of nicotinamide riboside kinetics (Ratajczak </w:t>
      </w:r>
      <w:r w:rsidRPr="000C7CE1">
        <w:rPr>
          <w:i/>
        </w:rPr>
        <w:t>et al</w:t>
      </w:r>
      <w:r w:rsidR="00CA0EBC" w:rsidRPr="000C7CE1">
        <w:rPr>
          <w:i/>
        </w:rPr>
        <w:t>.</w:t>
      </w:r>
      <w:r w:rsidRPr="00B76DC4">
        <w:rPr>
          <w:i/>
        </w:rPr>
        <w:t xml:space="preserve"> </w:t>
      </w:r>
      <w:r w:rsidRPr="00CE58FA">
        <w:rPr>
          <w:i/>
        </w:rPr>
        <w:t>2016</w:t>
      </w:r>
      <w:r>
        <w:rPr>
          <w:i/>
        </w:rPr>
        <w:t>) Regulatory status: Not GLP</w:t>
      </w:r>
    </w:p>
    <w:p w14:paraId="0670859B" w14:textId="77777777" w:rsidR="00616283" w:rsidRDefault="00616283" w:rsidP="00543B9C">
      <w:pPr>
        <w:rPr>
          <w:i/>
        </w:rPr>
      </w:pPr>
    </w:p>
    <w:p w14:paraId="3D2B3D94" w14:textId="60A1913E" w:rsidR="00543B9C" w:rsidRDefault="00543B9C" w:rsidP="00543B9C">
      <w:r>
        <w:t>The test article for the studies reported in this paper was NRC, but it was manufactured by Biosynth (now Biosyn</w:t>
      </w:r>
      <w:r w:rsidR="0047245E">
        <w:t>th Carbosynth, Itasca, IL, USA)</w:t>
      </w:r>
      <w:r>
        <w:t xml:space="preserve"> rather than by the applicant. </w:t>
      </w:r>
    </w:p>
    <w:p w14:paraId="3EE6206C" w14:textId="77777777" w:rsidR="00543B9C" w:rsidRDefault="00543B9C" w:rsidP="00543B9C"/>
    <w:p w14:paraId="1D7697EB" w14:textId="35713596" w:rsidR="00543B9C" w:rsidRPr="000C32B4" w:rsidRDefault="00543B9C" w:rsidP="00543B9C">
      <w:r w:rsidRPr="00CE58FA">
        <w:t xml:space="preserve">Mice with a constitutive ablation of the </w:t>
      </w:r>
      <w:r w:rsidRPr="00CE58FA">
        <w:rPr>
          <w:i/>
        </w:rPr>
        <w:t>Nrk1</w:t>
      </w:r>
      <w:r w:rsidRPr="00CE58FA">
        <w:t xml:space="preserve"> gene </w:t>
      </w:r>
      <w:r>
        <w:t xml:space="preserve">were generated, and primary hepatocytes from these mice were compared </w:t>
      </w:r>
      <w:r w:rsidRPr="00E73872">
        <w:rPr>
          <w:i/>
        </w:rPr>
        <w:t>in</w:t>
      </w:r>
      <w:r>
        <w:t xml:space="preserve"> </w:t>
      </w:r>
      <w:r w:rsidRPr="00CE58FA">
        <w:rPr>
          <w:i/>
        </w:rPr>
        <w:t>vitro</w:t>
      </w:r>
      <w:r>
        <w:t xml:space="preserve"> to those from wild-type (WT) mice of the same ancestry. Levels of NAD</w:t>
      </w:r>
      <w:r>
        <w:rPr>
          <w:vertAlign w:val="superscript"/>
        </w:rPr>
        <w:t xml:space="preserve">+ </w:t>
      </w:r>
      <w:r>
        <w:t xml:space="preserve">in hepatocytes of the knockout mice increased when the cells were treated with nicotinamide, but not when the cells were treated with nicotinamide riboside or </w:t>
      </w:r>
      <w:r w:rsidR="00E73872">
        <w:t>NMN</w:t>
      </w:r>
      <w:r>
        <w:t>. In contrast, levels of NAD</w:t>
      </w:r>
      <w:r>
        <w:rPr>
          <w:vertAlign w:val="superscript"/>
        </w:rPr>
        <w:t xml:space="preserve">+ </w:t>
      </w:r>
      <w:r>
        <w:t xml:space="preserve">in hepatocytes of the WT mice increased with all treatments. Thus, </w:t>
      </w:r>
      <w:r w:rsidRPr="00CE58FA">
        <w:rPr>
          <w:i/>
        </w:rPr>
        <w:t>Nrk1</w:t>
      </w:r>
      <w:r>
        <w:t xml:space="preserve"> is required for utilization of exogenous nicotinamide riboside and </w:t>
      </w:r>
      <w:r w:rsidR="00E73872">
        <w:t>NMN</w:t>
      </w:r>
      <w:r>
        <w:t xml:space="preserve">. Decreased, but not ablated, ability to utilize </w:t>
      </w:r>
      <w:r w:rsidRPr="007B1BE7">
        <w:t xml:space="preserve">exogenous nicotinamide riboside and </w:t>
      </w:r>
      <w:r w:rsidR="00E73872">
        <w:t>NMN</w:t>
      </w:r>
      <w:r>
        <w:t xml:space="preserve">, relative to that of WT mice, was also demonstrated in the knockout mice </w:t>
      </w:r>
      <w:r w:rsidRPr="007B1BE7">
        <w:rPr>
          <w:i/>
        </w:rPr>
        <w:t>in vivo</w:t>
      </w:r>
      <w:r>
        <w:t xml:space="preserve">, following intraperitoneal injection of the test articles. Tissues in which the effect was demonstrated were liver, kidney and brown adipose tissue. It was demonstrated that some of the </w:t>
      </w:r>
      <w:r w:rsidRPr="007B1BE7">
        <w:t xml:space="preserve">nicotinamide riboside and </w:t>
      </w:r>
      <w:r w:rsidR="00E73872">
        <w:t>NMN</w:t>
      </w:r>
      <w:r>
        <w:t xml:space="preserve"> was converted to </w:t>
      </w:r>
      <w:r w:rsidR="00E73872">
        <w:t>Nam</w:t>
      </w:r>
      <w:r>
        <w:t xml:space="preserve"> in the peritoneal </w:t>
      </w:r>
      <w:r w:rsidRPr="000C32B4">
        <w:t>cavity.</w:t>
      </w:r>
    </w:p>
    <w:p w14:paraId="55F44938" w14:textId="77777777" w:rsidR="0047245E" w:rsidRPr="0033116F" w:rsidRDefault="0047245E" w:rsidP="00543B9C">
      <w:pPr>
        <w:rPr>
          <w:color w:val="0070C0"/>
        </w:rPr>
      </w:pPr>
    </w:p>
    <w:p w14:paraId="68FAA289" w14:textId="6E033E3F" w:rsidR="00543B9C" w:rsidRDefault="00543B9C" w:rsidP="00543B9C">
      <w:pPr>
        <w:rPr>
          <w:i/>
        </w:rPr>
      </w:pPr>
      <w:r>
        <w:rPr>
          <w:i/>
        </w:rPr>
        <w:t>Single-dose toxicokinetics findings in C57BL/6 mice (Liu et al</w:t>
      </w:r>
      <w:r w:rsidR="00CA0EBC">
        <w:rPr>
          <w:i/>
        </w:rPr>
        <w:t>.</w:t>
      </w:r>
      <w:r>
        <w:rPr>
          <w:i/>
        </w:rPr>
        <w:t xml:space="preserve"> 2018) Regulatory status: Not GLP.</w:t>
      </w:r>
    </w:p>
    <w:p w14:paraId="723A54C8" w14:textId="77777777" w:rsidR="00543B9C" w:rsidRDefault="00543B9C" w:rsidP="00543B9C">
      <w:pPr>
        <w:rPr>
          <w:i/>
        </w:rPr>
      </w:pPr>
    </w:p>
    <w:p w14:paraId="41023CD2" w14:textId="624D7A91" w:rsidR="00543B9C" w:rsidRPr="00B6646B" w:rsidRDefault="00543B9C" w:rsidP="00543B9C">
      <w:r>
        <w:t>Dosing of mice occurred as part of a series of experiments to clarify the metabolism of NAD</w:t>
      </w:r>
      <w:r>
        <w:rPr>
          <w:vertAlign w:val="superscript"/>
        </w:rPr>
        <w:t>+</w:t>
      </w:r>
      <w:r>
        <w:t>.</w:t>
      </w:r>
      <w:r w:rsidRPr="000C32B4">
        <w:t xml:space="preserve"> </w:t>
      </w:r>
      <w:r w:rsidR="00D33C50">
        <w:t>NR</w:t>
      </w:r>
      <w:r w:rsidRPr="000C32B4">
        <w:t xml:space="preserve"> was synthesised in the laboratory in which the experiments were carried out, and was radiolabelled on both the nicotinamide and riboside moieties.</w:t>
      </w:r>
      <w:r>
        <w:t xml:space="preserve"> The test system comprised female C57BL/6 mice, 12 to 14 weeks old at the time of dosing. They were maintained under standard laboratory conditions of environment and husbandry. The mice were pre-catheterised at the time of purchase. Initially, </w:t>
      </w:r>
      <w:r w:rsidR="00D33C50">
        <w:t>NR</w:t>
      </w:r>
      <w:r>
        <w:t xml:space="preserve"> was administered at a dose of 50 mg/kg bw, either by intravenous (IV) bolus or by oral gavage. Intact nicotinamide riboside was detected in the blood following IV administration but not following oral administration. Postmortem examination of the tissue labelling showed that orally administered </w:t>
      </w:r>
      <w:r w:rsidR="00D33C50">
        <w:t xml:space="preserve">NR </w:t>
      </w:r>
      <w:r>
        <w:t>was incorporated into liver NAD</w:t>
      </w:r>
      <w:r>
        <w:rPr>
          <w:vertAlign w:val="superscript"/>
        </w:rPr>
        <w:t>+</w:t>
      </w:r>
      <w:r>
        <w:t>, whereas other tissues contained minimal radiolabelled NAD</w:t>
      </w:r>
      <w:r>
        <w:rPr>
          <w:vertAlign w:val="superscript"/>
        </w:rPr>
        <w:t>+</w:t>
      </w:r>
      <w:r>
        <w:t xml:space="preserve">. In contrast, when radiolabelled </w:t>
      </w:r>
      <w:r w:rsidR="00D33C50">
        <w:t>NR</w:t>
      </w:r>
      <w:r>
        <w:t xml:space="preserve"> was administered IV, label was detected in liver and kidney. The experiment was repeated at doses of 200 and 500 mg/kg bw </w:t>
      </w:r>
      <w:r w:rsidR="00D33C50">
        <w:t>NR</w:t>
      </w:r>
      <w:r>
        <w:t>, but the results were the same. In the brain, only NAD</w:t>
      </w:r>
      <w:r>
        <w:rPr>
          <w:vertAlign w:val="superscript"/>
        </w:rPr>
        <w:t>+</w:t>
      </w:r>
      <w:r>
        <w:t xml:space="preserve"> with a single label was detected, whereas nicotinamide with both labels was assimilated into NAD</w:t>
      </w:r>
      <w:r>
        <w:rPr>
          <w:vertAlign w:val="superscript"/>
        </w:rPr>
        <w:t>+</w:t>
      </w:r>
      <w:r>
        <w:t xml:space="preserve"> in skeletal muscle. The authors concluded that when </w:t>
      </w:r>
      <w:r w:rsidR="00D33C50">
        <w:t>NR</w:t>
      </w:r>
      <w:r>
        <w:t xml:space="preserve"> is administered orally, it is largely converted to </w:t>
      </w:r>
      <w:r w:rsidR="00E73872">
        <w:t>NMN</w:t>
      </w:r>
      <w:r>
        <w:t xml:space="preserve"> on first pass in the liver. They further concluded that </w:t>
      </w:r>
      <w:r w:rsidR="00D33C50">
        <w:t>NR</w:t>
      </w:r>
      <w:r>
        <w:t xml:space="preserve"> does not cross the brain-blood barrier, and the brain is reliant on circulating </w:t>
      </w:r>
      <w:r w:rsidR="00E73872">
        <w:t>NMN</w:t>
      </w:r>
      <w:r>
        <w:t>.</w:t>
      </w:r>
    </w:p>
    <w:p w14:paraId="3C536CDE" w14:textId="77777777" w:rsidR="0047245E" w:rsidRDefault="0047245E" w:rsidP="00543B9C">
      <w:pPr>
        <w:rPr>
          <w:i/>
        </w:rPr>
      </w:pPr>
    </w:p>
    <w:p w14:paraId="0DE42566" w14:textId="5F2B7D53" w:rsidR="00543B9C" w:rsidRPr="00392D86" w:rsidRDefault="00543B9C" w:rsidP="00543B9C">
      <w:pPr>
        <w:rPr>
          <w:i/>
        </w:rPr>
      </w:pPr>
      <w:r w:rsidRPr="00392D86">
        <w:rPr>
          <w:i/>
        </w:rPr>
        <w:t>Bioavailability studies in mice (Trammell et al</w:t>
      </w:r>
      <w:r w:rsidR="00CA0EBC">
        <w:rPr>
          <w:i/>
        </w:rPr>
        <w:t>.</w:t>
      </w:r>
      <w:r w:rsidRPr="00392D86">
        <w:rPr>
          <w:i/>
        </w:rPr>
        <w:t xml:space="preserve"> 2016) Regulatory status: Not GLP</w:t>
      </w:r>
    </w:p>
    <w:p w14:paraId="047B7D1F" w14:textId="77777777" w:rsidR="00543B9C" w:rsidRDefault="00543B9C" w:rsidP="00543B9C">
      <w:pPr>
        <w:rPr>
          <w:i/>
        </w:rPr>
      </w:pPr>
    </w:p>
    <w:p w14:paraId="107BB12E" w14:textId="4F278396" w:rsidR="00543B9C" w:rsidRPr="00C93B23" w:rsidRDefault="00543B9C" w:rsidP="00543B9C">
      <w:r w:rsidRPr="00392D86">
        <w:t>The nicotinamide riboside used in these assays was the chloride salt and was produced under GMP conditions.</w:t>
      </w:r>
      <w:r>
        <w:t xml:space="preserve"> Mice were male C57Bl/6J mice, kept under standard laboratory conditions. In the first single-dose study, mice were gavaged with NRC at 185 mg/kg bw (n=3/timepoint), or an equimolar dose of either </w:t>
      </w:r>
      <w:r w:rsidR="00E73872">
        <w:t>NA</w:t>
      </w:r>
      <w:r>
        <w:t xml:space="preserve"> (n=4/timepoint) or </w:t>
      </w:r>
      <w:r w:rsidR="00E73872">
        <w:t>Nam</w:t>
      </w:r>
      <w:r>
        <w:t xml:space="preserve"> (n=4/timepoint</w:t>
      </w:r>
      <w:r w:rsidR="00EE0F6D">
        <w:t>)</w:t>
      </w:r>
      <w:r>
        <w:t>. The vehicle was saline, and a control group (n=4</w:t>
      </w:r>
      <w:r w:rsidR="00EE0F6D">
        <w:t>/</w:t>
      </w:r>
      <w:r>
        <w:t xml:space="preserve">timepoint) were gavaged with the vehicle. Mice were dosed 0.25, 1, 2, 4, 6, 8 and 12 h prior to being killed </w:t>
      </w:r>
      <w:r w:rsidRPr="00BF7347">
        <w:t>at approximately the same time of day, to prevent circadian rhythm effects</w:t>
      </w:r>
      <w:r>
        <w:t>. T</w:t>
      </w:r>
      <w:r w:rsidRPr="00BF7347">
        <w:t>he medullary lobe of the liver was freeze-clamped at liquid nitrogen temperature</w:t>
      </w:r>
      <w:r>
        <w:t xml:space="preserve"> and stored at -80</w:t>
      </w:r>
      <w:r>
        <w:rPr>
          <w:rFonts w:cs="Arial"/>
        </w:rPr>
        <w:t>°</w:t>
      </w:r>
      <w:r>
        <w:t>C until analysed for hepatic NAD</w:t>
      </w:r>
      <w:r w:rsidRPr="00946E99">
        <w:rPr>
          <w:vertAlign w:val="superscript"/>
        </w:rPr>
        <w:t>+</w:t>
      </w:r>
      <w:r w:rsidRPr="00BF7347">
        <w:t>.</w:t>
      </w:r>
      <w:r>
        <w:t xml:space="preserve"> </w:t>
      </w:r>
      <w:r w:rsidR="00E73872">
        <w:t>NA</w:t>
      </w:r>
      <w:r>
        <w:t xml:space="preserve"> produced a rapid increase in hepatic NAD</w:t>
      </w:r>
      <w:r w:rsidRPr="00946E99">
        <w:rPr>
          <w:vertAlign w:val="superscript"/>
        </w:rPr>
        <w:t>+</w:t>
      </w:r>
      <w:r>
        <w:t>, with a doubling of hepatic NAD</w:t>
      </w:r>
      <w:r w:rsidRPr="00946E99">
        <w:rPr>
          <w:vertAlign w:val="superscript"/>
        </w:rPr>
        <w:t>+</w:t>
      </w:r>
      <w:r>
        <w:rPr>
          <w:vertAlign w:val="superscript"/>
        </w:rPr>
        <w:t xml:space="preserve"> </w:t>
      </w:r>
      <w:r w:rsidRPr="00946E99">
        <w:t>in approximately 15 min.</w:t>
      </w:r>
      <w:r>
        <w:rPr>
          <w:vertAlign w:val="superscript"/>
        </w:rPr>
        <w:t xml:space="preserve"> </w:t>
      </w:r>
      <w:r w:rsidRPr="00946E99">
        <w:t xml:space="preserve">Oral </w:t>
      </w:r>
      <w:r w:rsidR="00E73872">
        <w:t>Nam</w:t>
      </w:r>
      <w:r w:rsidRPr="00946E99">
        <w:t xml:space="preserve"> </w:t>
      </w:r>
      <w:r>
        <w:t>led to an increase in hepatic NAD</w:t>
      </w:r>
      <w:r w:rsidRPr="00946E99">
        <w:rPr>
          <w:vertAlign w:val="superscript"/>
        </w:rPr>
        <w:t>+</w:t>
      </w:r>
      <w:r>
        <w:rPr>
          <w:vertAlign w:val="superscript"/>
        </w:rPr>
        <w:t xml:space="preserve"> </w:t>
      </w:r>
      <w:r>
        <w:t>that commenced after 2 h and peaked at 8 h. The AUC of hepatic NAD</w:t>
      </w:r>
      <w:r w:rsidRPr="00946E99">
        <w:rPr>
          <w:vertAlign w:val="superscript"/>
        </w:rPr>
        <w:t>+</w:t>
      </w:r>
      <w:r>
        <w:rPr>
          <w:vertAlign w:val="superscript"/>
        </w:rPr>
        <w:t xml:space="preserve"> </w:t>
      </w:r>
      <w:r>
        <w:t xml:space="preserve">generated in response to oral gavage with </w:t>
      </w:r>
      <w:r w:rsidR="00E73872">
        <w:t>Nam</w:t>
      </w:r>
      <w:r>
        <w:t xml:space="preserve"> was approximately 50% greater than that generated in response to </w:t>
      </w:r>
      <w:r w:rsidR="00E73872">
        <w:t>NA</w:t>
      </w:r>
      <w:r>
        <w:t>. Oral gavage with NRC led to the greatest increase in hepatic NAD</w:t>
      </w:r>
      <w:r w:rsidRPr="00946E99">
        <w:rPr>
          <w:vertAlign w:val="superscript"/>
        </w:rPr>
        <w:t>+</w:t>
      </w:r>
      <w:r>
        <w:t>; a fourfold increase peaking at 6 h after gavage. Hepatic concentrations of 13 NAD</w:t>
      </w:r>
      <w:r w:rsidRPr="00543B9C">
        <w:rPr>
          <w:vertAlign w:val="superscript"/>
        </w:rPr>
        <w:t>+</w:t>
      </w:r>
      <w:r>
        <w:t xml:space="preserve"> metabolites were also quantified, with each precursor producing a temporally distinct pattern of hepatic NAD</w:t>
      </w:r>
      <w:r w:rsidRPr="00BC625C">
        <w:rPr>
          <w:vertAlign w:val="superscript"/>
        </w:rPr>
        <w:t>+</w:t>
      </w:r>
      <w:r>
        <w:t xml:space="preserve"> metabolites. </w:t>
      </w:r>
    </w:p>
    <w:p w14:paraId="7448FDE9" w14:textId="77777777" w:rsidR="00543B9C" w:rsidRDefault="00543B9C" w:rsidP="00543B9C"/>
    <w:p w14:paraId="2F41C96F" w14:textId="26196F22" w:rsidR="00543B9C" w:rsidRPr="00CF234F" w:rsidRDefault="00543B9C" w:rsidP="00543B9C">
      <w:pPr>
        <w:rPr>
          <w:vertAlign w:val="superscript"/>
        </w:rPr>
      </w:pPr>
      <w:r>
        <w:t xml:space="preserve">In the second study, mice (15/group) were gavaged with 185 mg NRC/kg bw. The NRC </w:t>
      </w:r>
      <w:r w:rsidR="00D85AB6">
        <w:t>was</w:t>
      </w:r>
      <w:r>
        <w:t xml:space="preserve"> radiolabelled with </w:t>
      </w:r>
      <w:r w:rsidRPr="00C93B23">
        <w:rPr>
          <w:vertAlign w:val="superscript"/>
        </w:rPr>
        <w:t>13</w:t>
      </w:r>
      <w:r>
        <w:t xml:space="preserve">C </w:t>
      </w:r>
      <w:r w:rsidRPr="00C93B23">
        <w:t>on</w:t>
      </w:r>
      <w:r>
        <w:t xml:space="preserve"> the nicotinamide moiety and deuterium on the riboside moiety. Mice (n=3) were killed at 0, 2, 4, 6 and 8 h after dosing. At 2 h, 54% of the NAD</w:t>
      </w:r>
      <w:r>
        <w:rPr>
          <w:vertAlign w:val="superscript"/>
        </w:rPr>
        <w:t xml:space="preserve">+ </w:t>
      </w:r>
      <w:r>
        <w:t>and 32% of the NADP</w:t>
      </w:r>
      <w:r>
        <w:rPr>
          <w:vertAlign w:val="superscript"/>
        </w:rPr>
        <w:t xml:space="preserve">+ </w:t>
      </w:r>
      <w:r>
        <w:t>contained at least one radiolabel, and 5% and 6% respectively had both radiolabels. Radiolabel was also found in hepatic NAAD with similar percentage and time-course as for NAD</w:t>
      </w:r>
      <w:r>
        <w:rPr>
          <w:vertAlign w:val="superscript"/>
        </w:rPr>
        <w:t>+</w:t>
      </w:r>
      <w:r w:rsidRPr="00FC7167">
        <w:t>.</w:t>
      </w:r>
    </w:p>
    <w:p w14:paraId="09D96F7C" w14:textId="77777777" w:rsidR="00543B9C" w:rsidRDefault="00543B9C" w:rsidP="00543B9C"/>
    <w:p w14:paraId="218A779B" w14:textId="0E9F3B6A" w:rsidR="00543B9C" w:rsidRDefault="00D85AB6" w:rsidP="00E5012A">
      <w:r>
        <w:t>A</w:t>
      </w:r>
      <w:r w:rsidR="00543B9C">
        <w:t xml:space="preserve"> repeat-dose study in mice (n=8) was also performed in which mice were intraperitoneally injected with NCR (500 mg/kg </w:t>
      </w:r>
      <w:r w:rsidR="00D33C50">
        <w:t xml:space="preserve">bw </w:t>
      </w:r>
      <w:r w:rsidR="00543B9C">
        <w:t>body weight) or saline for 6 days. Livers and hearts were freeze-clamped and prepared for metabolomics analysis. Concentrations of NAD</w:t>
      </w:r>
      <w:r w:rsidR="00B70218" w:rsidRPr="00BD42B0">
        <w:rPr>
          <w:vertAlign w:val="superscript"/>
        </w:rPr>
        <w:t>+</w:t>
      </w:r>
      <w:r w:rsidR="00543B9C">
        <w:t xml:space="preserve"> metabolites (NMN, NAD</w:t>
      </w:r>
      <w:r w:rsidR="00543B9C" w:rsidRPr="00BC625C">
        <w:rPr>
          <w:vertAlign w:val="superscript"/>
        </w:rPr>
        <w:t>+</w:t>
      </w:r>
      <w:r w:rsidR="00543B9C">
        <w:t>, NADP</w:t>
      </w:r>
      <w:r w:rsidR="00543B9C" w:rsidRPr="00BC625C">
        <w:rPr>
          <w:vertAlign w:val="superscript"/>
        </w:rPr>
        <w:t>+</w:t>
      </w:r>
      <w:r w:rsidR="00543B9C">
        <w:t>, Nam , MeNam, 4-PY, NAMN, NAAD and ADPR</w:t>
      </w:r>
      <w:r w:rsidR="00C045F4">
        <w:t>)</w:t>
      </w:r>
      <w:r w:rsidR="00543B9C">
        <w:t xml:space="preserve"> were significantly higher in liver, and significantly higher in heart samples, with the exception of NAD</w:t>
      </w:r>
      <w:r w:rsidR="00543B9C" w:rsidRPr="00BC625C">
        <w:rPr>
          <w:vertAlign w:val="superscript"/>
        </w:rPr>
        <w:t>+</w:t>
      </w:r>
      <w:r w:rsidR="00543B9C">
        <w:t>, NADP</w:t>
      </w:r>
      <w:r w:rsidR="00543B9C" w:rsidRPr="00BC625C">
        <w:rPr>
          <w:vertAlign w:val="superscript"/>
        </w:rPr>
        <w:t>+</w:t>
      </w:r>
      <w:r w:rsidR="00543B9C">
        <w:t xml:space="preserve"> and ADPR (p &lt; 0.05).   </w:t>
      </w:r>
    </w:p>
    <w:p w14:paraId="38159242" w14:textId="0C440DB5" w:rsidR="00E5012A" w:rsidRPr="0035697A" w:rsidRDefault="00F503C9" w:rsidP="00CA5D21">
      <w:pPr>
        <w:pStyle w:val="Heading3"/>
        <w:ind w:left="851" w:hanging="851"/>
      </w:pPr>
      <w:bookmarkStart w:id="160" w:name="_Toc65509063"/>
      <w:bookmarkStart w:id="161" w:name="_Toc65578800"/>
      <w:bookmarkStart w:id="162" w:name="_Toc65587194"/>
      <w:bookmarkStart w:id="163" w:name="_Toc65587164"/>
      <w:bookmarkStart w:id="164" w:name="_Toc65682773"/>
      <w:bookmarkStart w:id="165" w:name="_Toc65764314"/>
      <w:bookmarkStart w:id="166" w:name="_Toc65764647"/>
      <w:bookmarkStart w:id="167" w:name="_Toc65841216"/>
      <w:bookmarkStart w:id="168" w:name="_Toc66443231"/>
      <w:bookmarkStart w:id="169" w:name="_Toc66436787"/>
      <w:bookmarkStart w:id="170" w:name="_Toc66458139"/>
      <w:bookmarkStart w:id="171" w:name="_Toc66451413"/>
      <w:bookmarkStart w:id="172" w:name="_Toc66458806"/>
      <w:bookmarkStart w:id="173" w:name="_Toc66458939"/>
      <w:bookmarkStart w:id="174" w:name="_Toc66461634"/>
      <w:bookmarkStart w:id="175" w:name="_Toc69899741"/>
      <w:r>
        <w:lastRenderedPageBreak/>
        <w:t>2.</w:t>
      </w:r>
      <w:r w:rsidR="00CA5D21">
        <w:t>4</w:t>
      </w:r>
      <w:r>
        <w:t xml:space="preserve">.3 </w:t>
      </w:r>
      <w:r w:rsidR="00E5012A" w:rsidRPr="0035697A">
        <w:t>In vitro studies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00E5012A" w:rsidRPr="0035697A">
        <w:t xml:space="preserve"> </w:t>
      </w:r>
    </w:p>
    <w:p w14:paraId="342A5C1F" w14:textId="770BF75B" w:rsidR="00E5012A" w:rsidRDefault="00E5012A" w:rsidP="00E5012A">
      <w:r w:rsidRPr="00AA6DE1">
        <w:t>A</w:t>
      </w:r>
      <w:r>
        <w:t>n unpublished in-vitro</w:t>
      </w:r>
      <w:r w:rsidRPr="00AA6DE1">
        <w:t xml:space="preserve"> study </w:t>
      </w:r>
      <w:r>
        <w:t xml:space="preserve">of </w:t>
      </w:r>
      <w:r w:rsidR="002F64DE">
        <w:t xml:space="preserve">nicotinamide riboside </w:t>
      </w:r>
      <w:r>
        <w:t xml:space="preserve">metabolism in human blood measured the effect of the enzyme NR phosphorylase on </w:t>
      </w:r>
      <w:r w:rsidR="002F64DE" w:rsidRPr="002F64DE">
        <w:t>nicotinamide riboside</w:t>
      </w:r>
      <w:r>
        <w:t xml:space="preserve"> concentration in human blood (Guo et al. 2018). NR phospho</w:t>
      </w:r>
      <w:r w:rsidR="00D85AB6">
        <w:t>r</w:t>
      </w:r>
      <w:r>
        <w:t xml:space="preserve">ylase that is present in red blood cells (Grossman and Kaplan 1958) hydrolyses NR to nicotinamide and ribose-1-phosphate (Rowen and Kornberg 1951). Water, human whole blood, heparinised plasma and serum were spiked with </w:t>
      </w:r>
      <w:r w:rsidRPr="00AA6DE1">
        <w:rPr>
          <w:vertAlign w:val="superscript"/>
        </w:rPr>
        <w:t>13</w:t>
      </w:r>
      <w:r>
        <w:t xml:space="preserve">CD-NR, in which the nicotinamide portion was labelled with </w:t>
      </w:r>
      <w:r w:rsidRPr="00A13196">
        <w:rPr>
          <w:vertAlign w:val="superscript"/>
        </w:rPr>
        <w:t>13</w:t>
      </w:r>
      <w:r>
        <w:t>C and the riboside portion labelled with deuterium. Samples were incubated at 4</w:t>
      </w:r>
      <w:r w:rsidRPr="00613385">
        <w:rPr>
          <w:vertAlign w:val="superscript"/>
        </w:rPr>
        <w:t xml:space="preserve"> </w:t>
      </w:r>
      <w:r w:rsidRPr="007E6DAF">
        <w:rPr>
          <w:vertAlign w:val="superscript"/>
        </w:rPr>
        <w:t>o</w:t>
      </w:r>
      <w:r>
        <w:t xml:space="preserve">C or 37 </w:t>
      </w:r>
      <w:r w:rsidRPr="007E6DAF">
        <w:rPr>
          <w:vertAlign w:val="superscript"/>
        </w:rPr>
        <w:t>o</w:t>
      </w:r>
      <w:r>
        <w:t xml:space="preserve">C for 0, 5 and 10 min, after which time the </w:t>
      </w:r>
      <w:r w:rsidRPr="00AA6DE1">
        <w:rPr>
          <w:vertAlign w:val="superscript"/>
        </w:rPr>
        <w:t>13</w:t>
      </w:r>
      <w:r>
        <w:t xml:space="preserve">CD-NR and </w:t>
      </w:r>
      <w:r w:rsidRPr="00AA6DE1">
        <w:rPr>
          <w:vertAlign w:val="superscript"/>
        </w:rPr>
        <w:t>13</w:t>
      </w:r>
      <w:r>
        <w:t>C</w:t>
      </w:r>
      <w:r w:rsidR="00E00B87">
        <w:t>-</w:t>
      </w:r>
      <w:r>
        <w:t xml:space="preserve">nicotinamide were quantified by LC-MS/MS. </w:t>
      </w:r>
    </w:p>
    <w:p w14:paraId="581CE136" w14:textId="77777777" w:rsidR="00E5012A" w:rsidRDefault="00E5012A" w:rsidP="00E5012A"/>
    <w:p w14:paraId="66F8A730" w14:textId="54B6BE65" w:rsidR="00E5012A" w:rsidRDefault="00E5012A" w:rsidP="00E5012A">
      <w:r>
        <w:t xml:space="preserve">Following incubation the concentration of </w:t>
      </w:r>
      <w:r w:rsidRPr="00AA6DE1">
        <w:rPr>
          <w:vertAlign w:val="superscript"/>
        </w:rPr>
        <w:t>13</w:t>
      </w:r>
      <w:r>
        <w:t xml:space="preserve">CD-NR was similar in the heparinised plasma,  serum and water samples compared to the pre-incubation levels at both time points, but the </w:t>
      </w:r>
      <w:r w:rsidRPr="00AA6DE1">
        <w:rPr>
          <w:vertAlign w:val="superscript"/>
        </w:rPr>
        <w:t>13</w:t>
      </w:r>
      <w:r>
        <w:t xml:space="preserve">CD-NR peak area ratio of the heparinised whole blood samples decreased over time. The </w:t>
      </w:r>
      <w:r w:rsidRPr="00AA6DE1">
        <w:rPr>
          <w:vertAlign w:val="superscript"/>
        </w:rPr>
        <w:t>13</w:t>
      </w:r>
      <w:r>
        <w:t xml:space="preserve">C-nicotinamide concentration was also similar in the heparinised plasma, serum and water samples compared to pre-incubation levels, but increased in the whole blood samples over time. Faster reaction kinetics of the decrease in </w:t>
      </w:r>
      <w:r w:rsidRPr="00AA6DE1">
        <w:rPr>
          <w:vertAlign w:val="superscript"/>
        </w:rPr>
        <w:t>13</w:t>
      </w:r>
      <w:r>
        <w:t xml:space="preserve">CD-NR and increase in </w:t>
      </w:r>
      <w:r w:rsidRPr="00AA6DE1">
        <w:rPr>
          <w:vertAlign w:val="superscript"/>
        </w:rPr>
        <w:t>13</w:t>
      </w:r>
      <w:r>
        <w:t>C-nicotinamide were observed at 37</w:t>
      </w:r>
      <w:r w:rsidRPr="00862256">
        <w:rPr>
          <w:vertAlign w:val="superscript"/>
        </w:rPr>
        <w:t>o</w:t>
      </w:r>
      <w:r>
        <w:t>C compared to 4</w:t>
      </w:r>
      <w:r w:rsidRPr="00862256">
        <w:rPr>
          <w:vertAlign w:val="superscript"/>
        </w:rPr>
        <w:t>o</w:t>
      </w:r>
      <w:r>
        <w:t xml:space="preserve">C in the whole blood sample.  </w:t>
      </w:r>
    </w:p>
    <w:p w14:paraId="717EC857" w14:textId="6BA42DEA" w:rsidR="00E5012A" w:rsidRDefault="00E5012A" w:rsidP="00533BF1">
      <w:pPr>
        <w:pStyle w:val="Heading2"/>
      </w:pPr>
      <w:bookmarkStart w:id="176" w:name="_Toc65509064"/>
      <w:bookmarkStart w:id="177" w:name="_Toc65578801"/>
      <w:bookmarkStart w:id="178" w:name="_Toc65587195"/>
      <w:bookmarkStart w:id="179" w:name="_Toc65587165"/>
      <w:bookmarkStart w:id="180" w:name="_Toc65682774"/>
      <w:bookmarkStart w:id="181" w:name="_Toc65764315"/>
      <w:bookmarkStart w:id="182" w:name="_Toc65764648"/>
      <w:bookmarkStart w:id="183" w:name="_Toc65841217"/>
      <w:bookmarkStart w:id="184" w:name="_Toc66443232"/>
      <w:bookmarkStart w:id="185" w:name="_Toc66436788"/>
      <w:bookmarkStart w:id="186" w:name="_Toc66458140"/>
      <w:bookmarkStart w:id="187" w:name="_Toc66451414"/>
      <w:bookmarkStart w:id="188" w:name="_Toc66458807"/>
      <w:bookmarkStart w:id="189" w:name="_Toc66458940"/>
      <w:bookmarkStart w:id="190" w:name="_Toc66461635"/>
      <w:bookmarkStart w:id="191" w:name="_Toc69899742"/>
      <w:r w:rsidRPr="0081663C">
        <w:t>Discussion</w:t>
      </w:r>
      <w:r>
        <w:t xml:space="preserve"> and Conclusion</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3DBA3480" w14:textId="7F1851DB" w:rsidR="00E5012A" w:rsidRDefault="0047245E" w:rsidP="00E5012A">
      <w:r>
        <w:t>Niacin</w:t>
      </w:r>
      <w:r w:rsidR="00E5012A">
        <w:t xml:space="preserve"> functions as a source of NAD</w:t>
      </w:r>
      <w:r w:rsidR="00E5012A" w:rsidRPr="003D40F3">
        <w:rPr>
          <w:vertAlign w:val="superscript"/>
        </w:rPr>
        <w:t>+</w:t>
      </w:r>
      <w:r w:rsidR="00E5012A">
        <w:t xml:space="preserve"> in the body that is required for a range of cellular functions. Currently, nicotinic acid and nicotinamide are </w:t>
      </w:r>
      <w:r w:rsidR="002077F3">
        <w:t>forms of niacin that are added to certain foods. S</w:t>
      </w:r>
      <w:r w:rsidR="00E5012A">
        <w:t>everal studies have shown that NR</w:t>
      </w:r>
      <w:r w:rsidR="00DB69E9">
        <w:t>C</w:t>
      </w:r>
      <w:r w:rsidR="00E5012A">
        <w:t xml:space="preserve"> can be metabolised to NAD</w:t>
      </w:r>
      <w:r w:rsidR="00E5012A" w:rsidRPr="00ED1783">
        <w:rPr>
          <w:vertAlign w:val="superscript"/>
        </w:rPr>
        <w:t>+</w:t>
      </w:r>
      <w:r w:rsidR="00E5012A">
        <w:t xml:space="preserve"> via two separate pathways (Rowen and Kornberg 1951, Bieganowski and Brenner 2004, Belenky et al. 2007, Bogan </w:t>
      </w:r>
      <w:r w:rsidR="00B6646B">
        <w:t>and Brenner</w:t>
      </w:r>
      <w:r w:rsidR="00E5012A">
        <w:t xml:space="preserve"> 2008, Chi and Sauve 2013). </w:t>
      </w:r>
    </w:p>
    <w:p w14:paraId="2B7CE945" w14:textId="77777777" w:rsidR="00E5012A" w:rsidRDefault="00E5012A" w:rsidP="00E5012A"/>
    <w:p w14:paraId="720DBC94" w14:textId="7480962F" w:rsidR="00E5012A" w:rsidRDefault="00E5012A" w:rsidP="00E5012A">
      <w:r>
        <w:t>In order to determine the bioavailability of NR</w:t>
      </w:r>
      <w:r w:rsidR="00134D48">
        <w:t>C</w:t>
      </w:r>
      <w:r>
        <w:t xml:space="preserve"> compared to other forms of niacin FSANZ considered the body of evidence on the effect of NR</w:t>
      </w:r>
      <w:r w:rsidR="00134D48">
        <w:t>C</w:t>
      </w:r>
      <w:r>
        <w:t xml:space="preserve"> supplementation on the concentration of NAD</w:t>
      </w:r>
      <w:r w:rsidRPr="00565E08">
        <w:rPr>
          <w:vertAlign w:val="superscript"/>
        </w:rPr>
        <w:t>+</w:t>
      </w:r>
      <w:r>
        <w:t xml:space="preserve"> and metabolites in blood and urine. </w:t>
      </w:r>
      <w:r w:rsidR="00EE3086">
        <w:t>Six</w:t>
      </w:r>
      <w:r>
        <w:t xml:space="preserve"> human studies measured the pharmacokinetics of NR</w:t>
      </w:r>
      <w:r w:rsidR="00134D48">
        <w:t>C</w:t>
      </w:r>
      <w:r>
        <w:t xml:space="preserve"> oral supplementation in healthy individuals and its effect on blood and urine NR</w:t>
      </w:r>
      <w:r w:rsidR="00134D48">
        <w:t>C</w:t>
      </w:r>
      <w:r>
        <w:t xml:space="preserve"> metabolites including NAD</w:t>
      </w:r>
      <w:r w:rsidRPr="00036906">
        <w:rPr>
          <w:vertAlign w:val="superscript"/>
        </w:rPr>
        <w:t>+</w:t>
      </w:r>
      <w:r>
        <w:t xml:space="preserve"> compared to either pre-dose levels, placebo or varying concentrations of NR</w:t>
      </w:r>
      <w:r w:rsidR="00134D48">
        <w:t>C</w:t>
      </w:r>
      <w:r>
        <w:t xml:space="preserve">. Duration of supplementation varied from </w:t>
      </w:r>
      <w:r w:rsidR="00EE3086">
        <w:t>7</w:t>
      </w:r>
      <w:r>
        <w:t xml:space="preserve"> days to 12 weeks, with one crossover study measuring blood and urine metabolite concentrations for 24 hours following supplementation (Wilson 2015). </w:t>
      </w:r>
    </w:p>
    <w:p w14:paraId="140862AB" w14:textId="168F3BD8" w:rsidR="00E5012A" w:rsidRDefault="00E5012A" w:rsidP="00E5012A"/>
    <w:p w14:paraId="060E26BE" w14:textId="54154272" w:rsidR="000E026C" w:rsidRDefault="00E5012A" w:rsidP="00DB10A1">
      <w:r>
        <w:t>F</w:t>
      </w:r>
      <w:r w:rsidR="00EE3086">
        <w:t>ive</w:t>
      </w:r>
      <w:r>
        <w:t xml:space="preserve"> studies measured the effect of NR</w:t>
      </w:r>
      <w:r w:rsidR="00134D48">
        <w:t>C</w:t>
      </w:r>
      <w:r>
        <w:t xml:space="preserve"> supplementation on several </w:t>
      </w:r>
      <w:r w:rsidRPr="0041566A">
        <w:t>NAD</w:t>
      </w:r>
      <w:r w:rsidRPr="0041566A">
        <w:rPr>
          <w:vertAlign w:val="superscript"/>
        </w:rPr>
        <w:t>+</w:t>
      </w:r>
      <w:r>
        <w:t xml:space="preserve"> metabolite concentrations in human blood fractions, with concentrations increasing compared to baseline or placebo in all studies and reaching statistical significance in </w:t>
      </w:r>
      <w:r w:rsidR="006936C3">
        <w:t>four studies</w:t>
      </w:r>
      <w:r>
        <w:t xml:space="preserve"> (</w:t>
      </w:r>
      <w:r w:rsidRPr="00C92817">
        <w:t xml:space="preserve">Wilson 2015, Airhart et al. 2017, </w:t>
      </w:r>
      <w:r>
        <w:t xml:space="preserve">Martens </w:t>
      </w:r>
      <w:r w:rsidR="000F65B2">
        <w:t>et al</w:t>
      </w:r>
      <w:r w:rsidR="00B6646B">
        <w:t>.</w:t>
      </w:r>
      <w:r>
        <w:t xml:space="preserve"> 2018, </w:t>
      </w:r>
      <w:r w:rsidRPr="009F595E">
        <w:t>Schacter 2018</w:t>
      </w:r>
      <w:r>
        <w:t>). Two of the three studies that compared different doses of NR</w:t>
      </w:r>
      <w:r w:rsidR="00134D48">
        <w:t>C</w:t>
      </w:r>
      <w:r>
        <w:t xml:space="preserve"> observed a dose-response relationship between </w:t>
      </w:r>
      <w:r w:rsidR="00037B5F">
        <w:t xml:space="preserve">NRC </w:t>
      </w:r>
      <w:r w:rsidR="005F1D2F">
        <w:t>dose</w:t>
      </w:r>
      <w:r>
        <w:t xml:space="preserve"> and NAD</w:t>
      </w:r>
      <w:r w:rsidRPr="00854124">
        <w:rPr>
          <w:vertAlign w:val="superscript"/>
        </w:rPr>
        <w:t>+</w:t>
      </w:r>
      <w:r>
        <w:t xml:space="preserve"> metabolite concentration in blood (</w:t>
      </w:r>
      <w:r w:rsidRPr="009F595E">
        <w:t>Wilson 2015, Schacter 2018</w:t>
      </w:r>
      <w:r>
        <w:t xml:space="preserve">). </w:t>
      </w:r>
      <w:r w:rsidR="00970D6D">
        <w:t>U</w:t>
      </w:r>
      <w:r>
        <w:t>rin</w:t>
      </w:r>
      <w:r w:rsidR="00970D6D">
        <w:t>e</w:t>
      </w:r>
      <w:r>
        <w:t xml:space="preserve"> concentrations of NAD</w:t>
      </w:r>
      <w:r w:rsidRPr="005F1D2F">
        <w:rPr>
          <w:vertAlign w:val="superscript"/>
        </w:rPr>
        <w:t>+</w:t>
      </w:r>
      <w:r>
        <w:t xml:space="preserve"> metabolites were in general consistent with results in human blood. </w:t>
      </w:r>
    </w:p>
    <w:p w14:paraId="01BE3F4F" w14:textId="77777777" w:rsidR="000E026C" w:rsidRDefault="000E026C" w:rsidP="00DB10A1"/>
    <w:p w14:paraId="5193D0AA" w14:textId="668715A8" w:rsidR="00DB10A1" w:rsidRPr="005A4C20" w:rsidRDefault="00037B5F" w:rsidP="00DB10A1">
      <w:pPr>
        <w:rPr>
          <w:rFonts w:cs="Arial"/>
        </w:rPr>
      </w:pPr>
      <w:r>
        <w:t xml:space="preserve">NRC has been shown to contribute to </w:t>
      </w:r>
      <w:r w:rsidR="005D27C4">
        <w:t xml:space="preserve">hepatic </w:t>
      </w:r>
      <w:r>
        <w:t>NAD</w:t>
      </w:r>
      <w:r w:rsidRPr="00124961">
        <w:rPr>
          <w:vertAlign w:val="superscript"/>
        </w:rPr>
        <w:t>+</w:t>
      </w:r>
      <w:r>
        <w:t xml:space="preserve"> levels in mice (Ratajczak et al. 2016; Liu et al. 2018)</w:t>
      </w:r>
      <w:r w:rsidR="00DD5A8E">
        <w:t>,</w:t>
      </w:r>
      <w:r w:rsidR="00562268">
        <w:t xml:space="preserve"> </w:t>
      </w:r>
      <w:r w:rsidR="00BF12B1">
        <w:t>and</w:t>
      </w:r>
      <w:r w:rsidR="00BF12B1" w:rsidRPr="00082564">
        <w:t xml:space="preserve"> increase in plasma MeNam concentrations </w:t>
      </w:r>
      <w:r w:rsidR="00BF12B1">
        <w:t xml:space="preserve">in other animal studies which </w:t>
      </w:r>
      <w:r w:rsidR="00BF12B1" w:rsidRPr="005A4C20">
        <w:t>cannot b</w:t>
      </w:r>
      <w:r w:rsidR="00BF12B1" w:rsidRPr="007133AE">
        <w:t xml:space="preserve">e disclosed because it is CCI. </w:t>
      </w:r>
      <w:r>
        <w:t>NR is</w:t>
      </w:r>
      <w:r w:rsidR="00E5012A">
        <w:t xml:space="preserve"> metabolised to </w:t>
      </w:r>
      <w:r w:rsidR="00134D48">
        <w:t>Nam</w:t>
      </w:r>
      <w:r w:rsidR="00E5012A">
        <w:t xml:space="preserve"> and riboside in human whole blood (Guo 2018). </w:t>
      </w:r>
    </w:p>
    <w:p w14:paraId="20BDF8FD" w14:textId="3C5BDCF7" w:rsidR="00E5012A" w:rsidRDefault="00E5012A" w:rsidP="00E5012A"/>
    <w:p w14:paraId="1D07DB88" w14:textId="073AA2E4" w:rsidR="00584B88" w:rsidRDefault="00E5012A" w:rsidP="00E5012A">
      <w:r>
        <w:t>No human studies were identified that compared the effects of NR</w:t>
      </w:r>
      <w:r w:rsidR="00134D48">
        <w:t>C</w:t>
      </w:r>
      <w:r>
        <w:t xml:space="preserve"> supplementation to NA or Nam supplementation</w:t>
      </w:r>
      <w:r w:rsidR="00584B88">
        <w:t xml:space="preserve">. </w:t>
      </w:r>
      <w:r w:rsidR="00584B88" w:rsidRPr="00584B88">
        <w:t>A 90-day rat study showed that similar doses of NRC or Nam caused an elevation of plasma Nam and MeNam. Similar plasma concentrations of MeNam were observed in the two treatment groups, however the maximum plasma concentration (Cmax) and total systemic exposure (AUC) to Nam was higher (approximately 1.6- to 1.8-fold) in the Nam group compared to the NRC group. Plasma MeNam levels peaked earlier in the NRC group than in the Nam group.</w:t>
      </w:r>
    </w:p>
    <w:p w14:paraId="51ED0668" w14:textId="77777777" w:rsidR="00E5012A" w:rsidRDefault="00E5012A" w:rsidP="00E5012A"/>
    <w:p w14:paraId="0D1BB7B3" w14:textId="4A9D62FF" w:rsidR="00E5012A" w:rsidRDefault="00E5751C" w:rsidP="00E5012A">
      <w:r>
        <w:t>T</w:t>
      </w:r>
      <w:r w:rsidR="00E5012A">
        <w:t>he Applicant requests the use of NR</w:t>
      </w:r>
      <w:r w:rsidR="00B70218">
        <w:t>C</w:t>
      </w:r>
      <w:r w:rsidR="00E5012A">
        <w:t xml:space="preserve"> as a source of niacin in foods for special medical purposes (FSMP). As previously discussed, FSMPs are used to manage the diets of people with certain diseases, disorders or medical conditions and are used under the supervision of a medical practitioner (</w:t>
      </w:r>
      <w:hyperlink r:id="rId20" w:history="1">
        <w:r w:rsidR="00E5012A" w:rsidRPr="00DE603C">
          <w:rPr>
            <w:rStyle w:val="Hyperlink"/>
          </w:rPr>
          <w:t>FSANZ 2016</w:t>
        </w:r>
      </w:hyperlink>
      <w:r w:rsidR="00E5012A">
        <w:t>). The body of evidence for the effect of NR</w:t>
      </w:r>
      <w:r w:rsidR="00974EEF">
        <w:t>C</w:t>
      </w:r>
      <w:r w:rsidR="00E5012A">
        <w:t xml:space="preserve"> on NAD</w:t>
      </w:r>
      <w:r w:rsidR="00E5012A" w:rsidRPr="00DE603C">
        <w:rPr>
          <w:vertAlign w:val="superscript"/>
        </w:rPr>
        <w:t>+</w:t>
      </w:r>
      <w:r w:rsidR="00E5012A">
        <w:t xml:space="preserve"> metabolite concentration in humans related to healthy individuals</w:t>
      </w:r>
      <w:r>
        <w:t>,</w:t>
      </w:r>
      <w:r w:rsidR="00E5012A">
        <w:t xml:space="preserve"> however the FSMP formulation can be modified by the supervising medical practitioner in cases where vitamin malabsorption is suspected. </w:t>
      </w:r>
      <w:r w:rsidR="00AC5569">
        <w:rPr>
          <w:rFonts w:cs="Arial"/>
          <w:szCs w:val="21"/>
          <w:lang w:val="en"/>
        </w:rPr>
        <w:t>FSANZ notes that foods for special medical purposes do not extend to therapeutic goods which are used to treat or cure a medical condition.</w:t>
      </w:r>
    </w:p>
    <w:p w14:paraId="7B63016D" w14:textId="77777777" w:rsidR="00E5012A" w:rsidRDefault="00E5012A" w:rsidP="00E5012A"/>
    <w:p w14:paraId="203AA3AB" w14:textId="0FA751F6" w:rsidR="00E5012A" w:rsidRDefault="00E5012A" w:rsidP="00E5012A">
      <w:r>
        <w:t xml:space="preserve">No </w:t>
      </w:r>
      <w:r w:rsidR="00276BD4">
        <w:t>studies were</w:t>
      </w:r>
      <w:r>
        <w:t xml:space="preserve"> identified to indicate that NR</w:t>
      </w:r>
      <w:r w:rsidR="00134D48">
        <w:t>C</w:t>
      </w:r>
      <w:r>
        <w:t xml:space="preserve"> would inhibit the absorption of other nutrients.</w:t>
      </w:r>
    </w:p>
    <w:p w14:paraId="04A58E59" w14:textId="77777777" w:rsidR="00E5012A" w:rsidRDefault="00E5012A" w:rsidP="00E5012A"/>
    <w:p w14:paraId="52A85A79" w14:textId="60F4521A" w:rsidR="000C0A40" w:rsidRDefault="006F0CEE" w:rsidP="0047245E">
      <w:r>
        <w:rPr>
          <w:rFonts w:cs="Arial"/>
          <w:lang w:val="mi-NZ"/>
        </w:rPr>
        <w:t xml:space="preserve">The doses of NRC used in the human trials ranged from 100 to 2000 mg/d (42 </w:t>
      </w:r>
      <w:r w:rsidR="00F15421">
        <w:rPr>
          <w:rFonts w:cs="Arial"/>
          <w:lang w:val="mi-NZ"/>
        </w:rPr>
        <w:t>to</w:t>
      </w:r>
      <w:r>
        <w:rPr>
          <w:rFonts w:cs="Arial"/>
          <w:lang w:val="mi-NZ"/>
        </w:rPr>
        <w:t xml:space="preserve"> 840 m</w:t>
      </w:r>
      <w:r w:rsidR="00F2061B">
        <w:rPr>
          <w:rFonts w:cs="Arial"/>
          <w:lang w:val="mi-NZ"/>
        </w:rPr>
        <w:t>g</w:t>
      </w:r>
      <w:r>
        <w:rPr>
          <w:rFonts w:cs="Arial"/>
          <w:lang w:val="mi-NZ"/>
        </w:rPr>
        <w:t>/d of niacinamide assuming equimolarity); the lowest dose being several fold higher than the Recommended Dietary Intake of niacin (14 mg/d for women and 16 mg/d for men). At these high intakes of NRC, tissue concentrations of the bioavailable forms of niacin increase markedly and would be expected to support normal physiological function. FSANZ could not find any published or registered trials in humans which included a comparator group taking N</w:t>
      </w:r>
      <w:r w:rsidR="00F15421">
        <w:rPr>
          <w:rFonts w:cs="Arial"/>
          <w:lang w:val="mi-NZ"/>
        </w:rPr>
        <w:t>am</w:t>
      </w:r>
      <w:r>
        <w:rPr>
          <w:rFonts w:cs="Arial"/>
          <w:lang w:val="mi-NZ"/>
        </w:rPr>
        <w:t xml:space="preserve"> or NA. </w:t>
      </w:r>
      <w:r w:rsidR="00F15421">
        <w:rPr>
          <w:rFonts w:cs="Arial"/>
          <w:lang w:val="mi-NZ"/>
        </w:rPr>
        <w:t>In the absence of human studies to establish the bioavailability of NRC compared to already permitted forms of niacin, FSANZ cannot judge with certainty the extent to which lower NRC intakes which match adult Recommended Dietary Intakes for niacin (14 mg/day in women, 16 mg/day in men) would support essential requirements, when it is the only form of vitamin B3 in the diet.</w:t>
      </w:r>
      <w:r w:rsidR="00235D8C">
        <w:t xml:space="preserve"> </w:t>
      </w:r>
    </w:p>
    <w:p w14:paraId="17FEAB28" w14:textId="77777777" w:rsidR="00BF12B1" w:rsidRDefault="00BF12B1" w:rsidP="0047245E">
      <w:pPr>
        <w:rPr>
          <w:b/>
          <w:bCs/>
          <w:sz w:val="36"/>
          <w:szCs w:val="28"/>
          <w:lang w:bidi="ar-SA"/>
        </w:rPr>
      </w:pPr>
    </w:p>
    <w:p w14:paraId="39A3B786" w14:textId="77777777" w:rsidR="006F5437" w:rsidRDefault="006F5437">
      <w:pPr>
        <w:widowControl/>
        <w:rPr>
          <w:b/>
          <w:bCs/>
          <w:sz w:val="36"/>
          <w:szCs w:val="28"/>
          <w:lang w:bidi="ar-SA"/>
        </w:rPr>
      </w:pPr>
      <w:bookmarkStart w:id="192" w:name="_Toc65509065"/>
      <w:bookmarkStart w:id="193" w:name="_Toc65578802"/>
      <w:bookmarkStart w:id="194" w:name="_Toc65587196"/>
      <w:bookmarkStart w:id="195" w:name="_Toc65587166"/>
      <w:bookmarkStart w:id="196" w:name="_Toc65682775"/>
      <w:bookmarkStart w:id="197" w:name="_Toc65764316"/>
      <w:bookmarkStart w:id="198" w:name="_Toc65764649"/>
      <w:bookmarkStart w:id="199" w:name="_Toc65841218"/>
      <w:bookmarkStart w:id="200" w:name="_Toc66443233"/>
      <w:bookmarkStart w:id="201" w:name="_Toc66436789"/>
      <w:bookmarkStart w:id="202" w:name="_Toc66458141"/>
      <w:bookmarkStart w:id="203" w:name="_Toc66451415"/>
      <w:bookmarkStart w:id="204" w:name="_Toc66458808"/>
      <w:bookmarkStart w:id="205" w:name="_Toc66458941"/>
      <w:bookmarkStart w:id="206" w:name="_Toc66461636"/>
      <w:r>
        <w:br w:type="page"/>
      </w:r>
    </w:p>
    <w:p w14:paraId="5BF71C13" w14:textId="510EA383" w:rsidR="00463F16" w:rsidRDefault="0061608D" w:rsidP="00CA5D21">
      <w:pPr>
        <w:pStyle w:val="Heading1"/>
        <w:numPr>
          <w:ilvl w:val="0"/>
          <w:numId w:val="4"/>
        </w:numPr>
        <w:spacing w:before="0"/>
        <w:ind w:left="567" w:hanging="567"/>
      </w:pPr>
      <w:bookmarkStart w:id="207" w:name="_Toc69899743"/>
      <w:r>
        <w:lastRenderedPageBreak/>
        <w:t>Safety</w:t>
      </w:r>
      <w:r w:rsidR="00463F16">
        <w:t xml:space="preserve"> Assessment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42891A46" w14:textId="77777777" w:rsidR="00BA6BAC" w:rsidRPr="00BA6BAC" w:rsidRDefault="00BA6BAC" w:rsidP="00BA6BAC">
      <w:pPr>
        <w:pStyle w:val="ListParagraph"/>
        <w:keepNext/>
        <w:widowControl w:val="0"/>
        <w:numPr>
          <w:ilvl w:val="0"/>
          <w:numId w:val="36"/>
        </w:numPr>
        <w:spacing w:before="240" w:after="240"/>
        <w:contextualSpacing w:val="0"/>
        <w:outlineLvl w:val="1"/>
        <w:rPr>
          <w:rFonts w:eastAsia="Times New Roman" w:cs="Arial"/>
          <w:b/>
          <w:bCs/>
          <w:vanish/>
          <w:sz w:val="28"/>
        </w:rPr>
      </w:pPr>
      <w:bookmarkStart w:id="208" w:name="_Toc66717000"/>
      <w:bookmarkStart w:id="209" w:name="_Toc68869643"/>
      <w:bookmarkStart w:id="210" w:name="_Toc69899744"/>
      <w:bookmarkStart w:id="211" w:name="_Toc65509066"/>
      <w:bookmarkStart w:id="212" w:name="_Toc65578803"/>
      <w:bookmarkStart w:id="213" w:name="_Toc65587197"/>
      <w:bookmarkStart w:id="214" w:name="_Toc65587167"/>
      <w:bookmarkStart w:id="215" w:name="_Toc65682776"/>
      <w:bookmarkStart w:id="216" w:name="_Toc65764317"/>
      <w:bookmarkStart w:id="217" w:name="_Toc65764650"/>
      <w:bookmarkStart w:id="218" w:name="_Toc65841219"/>
      <w:bookmarkStart w:id="219" w:name="_Toc66443234"/>
      <w:bookmarkStart w:id="220" w:name="_Toc66436790"/>
      <w:bookmarkStart w:id="221" w:name="_Toc66458142"/>
      <w:bookmarkStart w:id="222" w:name="_Toc66451416"/>
      <w:bookmarkStart w:id="223" w:name="_Toc66458809"/>
      <w:bookmarkStart w:id="224" w:name="_Toc66458942"/>
      <w:bookmarkStart w:id="225" w:name="_Toc66461637"/>
      <w:bookmarkEnd w:id="208"/>
      <w:bookmarkEnd w:id="209"/>
      <w:bookmarkEnd w:id="210"/>
    </w:p>
    <w:p w14:paraId="400AEADD" w14:textId="16D9F498" w:rsidR="00D77D32" w:rsidRDefault="00F900C0" w:rsidP="00BA6BAC">
      <w:pPr>
        <w:pStyle w:val="Heading2"/>
      </w:pPr>
      <w:bookmarkStart w:id="226" w:name="_Toc69899745"/>
      <w:r w:rsidRPr="00F900C0">
        <w:t xml:space="preserve">Objectives for the safety </w:t>
      </w:r>
      <w:r w:rsidR="00D77D32">
        <w:t>assessment</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3A75F1E3" w14:textId="31DF9ED7" w:rsidR="00C55F58" w:rsidRDefault="00C55F58" w:rsidP="00C55F58">
      <w:pPr>
        <w:rPr>
          <w:lang w:bidi="ar-SA"/>
        </w:rPr>
      </w:pPr>
    </w:p>
    <w:p w14:paraId="6ADD594C" w14:textId="306103FA" w:rsidR="00C55F58" w:rsidRDefault="00C55F58" w:rsidP="00C55F58">
      <w:pPr>
        <w:rPr>
          <w:lang w:bidi="ar-SA"/>
        </w:rPr>
      </w:pPr>
      <w:r>
        <w:rPr>
          <w:lang w:bidi="ar-SA"/>
        </w:rPr>
        <w:t>Objectives for the safety assessment include the following:</w:t>
      </w:r>
    </w:p>
    <w:p w14:paraId="14E25B39" w14:textId="2EC53AE5" w:rsidR="00C55F58" w:rsidRDefault="00C55F58" w:rsidP="00C55F58">
      <w:pPr>
        <w:rPr>
          <w:lang w:bidi="ar-SA"/>
        </w:rPr>
      </w:pPr>
    </w:p>
    <w:p w14:paraId="5F71402D" w14:textId="0CB97443" w:rsidR="00C55F58" w:rsidRDefault="00C55F58" w:rsidP="001F5D79">
      <w:pPr>
        <w:pStyle w:val="ListParagraph"/>
        <w:numPr>
          <w:ilvl w:val="0"/>
          <w:numId w:val="16"/>
        </w:numPr>
      </w:pPr>
      <w:r>
        <w:t xml:space="preserve">To determine whether the information provided is of sufficient scope and quality to assess the safety of NRC </w:t>
      </w:r>
    </w:p>
    <w:p w14:paraId="41ADD8C0" w14:textId="053F4D39" w:rsidR="001F5D79" w:rsidRDefault="001F5D79" w:rsidP="00C55F58">
      <w:pPr>
        <w:rPr>
          <w:lang w:bidi="ar-SA"/>
        </w:rPr>
      </w:pPr>
    </w:p>
    <w:p w14:paraId="68822400" w14:textId="00419813" w:rsidR="001F5D79" w:rsidRDefault="001F5D79" w:rsidP="001F5D79">
      <w:pPr>
        <w:pStyle w:val="ListParagraph"/>
        <w:numPr>
          <w:ilvl w:val="0"/>
          <w:numId w:val="16"/>
        </w:numPr>
      </w:pPr>
      <w:r>
        <w:t>To determine the maximum safe level of intake of NRC for age groups over 1 year of age</w:t>
      </w:r>
    </w:p>
    <w:p w14:paraId="6F73C6C6" w14:textId="05DADB08" w:rsidR="001F5D79" w:rsidRDefault="001F5D79" w:rsidP="00C55F58">
      <w:pPr>
        <w:rPr>
          <w:lang w:bidi="ar-SA"/>
        </w:rPr>
      </w:pPr>
    </w:p>
    <w:p w14:paraId="38116C2B" w14:textId="2D402A60" w:rsidR="001F5D79" w:rsidRDefault="007B1406" w:rsidP="001F5D79">
      <w:pPr>
        <w:pStyle w:val="ListParagraph"/>
        <w:numPr>
          <w:ilvl w:val="0"/>
          <w:numId w:val="16"/>
        </w:numPr>
      </w:pPr>
      <w:r>
        <w:t>To</w:t>
      </w:r>
      <w:r w:rsidR="001F5D79">
        <w:t xml:space="preserve"> determine whether extrapolation of the safety data from adults to children and adolescents is appropriate</w:t>
      </w:r>
    </w:p>
    <w:p w14:paraId="4D0FD6C9" w14:textId="113AB483" w:rsidR="001F5D79" w:rsidRDefault="001F5D79" w:rsidP="00C55F58">
      <w:pPr>
        <w:rPr>
          <w:lang w:bidi="ar-SA"/>
        </w:rPr>
      </w:pPr>
    </w:p>
    <w:p w14:paraId="142BC1AF" w14:textId="2F1CAF8F" w:rsidR="001F5D79" w:rsidRPr="00C55F58" w:rsidRDefault="001F5D79" w:rsidP="001F5D79">
      <w:pPr>
        <w:pStyle w:val="ListParagraph"/>
        <w:numPr>
          <w:ilvl w:val="0"/>
          <w:numId w:val="16"/>
        </w:numPr>
      </w:pPr>
      <w:r>
        <w:t>To determine what side effects may be expected from supplementation of FSMP with NRC</w:t>
      </w:r>
      <w:r w:rsidR="00FC7167">
        <w:t>.</w:t>
      </w:r>
    </w:p>
    <w:p w14:paraId="59494FEC" w14:textId="7E0F82CF" w:rsidR="007734DE" w:rsidRDefault="00D77D32" w:rsidP="00533BF1">
      <w:pPr>
        <w:pStyle w:val="Heading2"/>
      </w:pPr>
      <w:bookmarkStart w:id="227" w:name="_Toc65509067"/>
      <w:bookmarkStart w:id="228" w:name="_Toc65578804"/>
      <w:bookmarkStart w:id="229" w:name="_Toc65587198"/>
      <w:bookmarkStart w:id="230" w:name="_Toc65587168"/>
      <w:bookmarkStart w:id="231" w:name="_Toc65682777"/>
      <w:bookmarkStart w:id="232" w:name="_Toc65764318"/>
      <w:bookmarkStart w:id="233" w:name="_Toc65764651"/>
      <w:bookmarkStart w:id="234" w:name="_Toc65841220"/>
      <w:bookmarkStart w:id="235" w:name="_Toc66443235"/>
      <w:bookmarkStart w:id="236" w:name="_Toc66436791"/>
      <w:bookmarkStart w:id="237" w:name="_Toc66458143"/>
      <w:bookmarkStart w:id="238" w:name="_Toc66451417"/>
      <w:bookmarkStart w:id="239" w:name="_Toc66458810"/>
      <w:bookmarkStart w:id="240" w:name="_Toc66458943"/>
      <w:bookmarkStart w:id="241" w:name="_Toc66461638"/>
      <w:bookmarkStart w:id="242" w:name="_Toc69899746"/>
      <w:r>
        <w:t>Backgrou</w:t>
      </w:r>
      <w:r w:rsidR="007734DE">
        <w:t>nd</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091DE30C" w14:textId="376D24C4" w:rsidR="007734DE" w:rsidRDefault="007734DE" w:rsidP="00BA6BAC">
      <w:pPr>
        <w:pStyle w:val="Heading3"/>
        <w:numPr>
          <w:ilvl w:val="2"/>
          <w:numId w:val="36"/>
        </w:numPr>
      </w:pPr>
      <w:bookmarkStart w:id="243" w:name="_Toc65509068"/>
      <w:bookmarkStart w:id="244" w:name="_Toc65578805"/>
      <w:bookmarkStart w:id="245" w:name="_Toc65587199"/>
      <w:bookmarkStart w:id="246" w:name="_Toc65587169"/>
      <w:bookmarkStart w:id="247" w:name="_Toc65682778"/>
      <w:bookmarkStart w:id="248" w:name="_Toc65764319"/>
      <w:bookmarkStart w:id="249" w:name="_Toc65764652"/>
      <w:bookmarkStart w:id="250" w:name="_Toc65841221"/>
      <w:bookmarkStart w:id="251" w:name="_Toc66443236"/>
      <w:bookmarkStart w:id="252" w:name="_Toc66436792"/>
      <w:bookmarkStart w:id="253" w:name="_Toc66458144"/>
      <w:bookmarkStart w:id="254" w:name="_Toc66451418"/>
      <w:bookmarkStart w:id="255" w:name="_Toc66458811"/>
      <w:bookmarkStart w:id="256" w:name="_Toc66458944"/>
      <w:bookmarkStart w:id="257" w:name="_Toc66461639"/>
      <w:bookmarkStart w:id="258" w:name="_Toc69899747"/>
      <w:r w:rsidRPr="007734DE">
        <w:t>Evaluation of the submitted data</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7AE7675D" w14:textId="6510F531" w:rsidR="0081799E" w:rsidRPr="0081799E" w:rsidRDefault="0081799E" w:rsidP="0081799E">
      <w:pPr>
        <w:rPr>
          <w:lang w:bidi="ar-SA"/>
        </w:rPr>
      </w:pPr>
      <w:r w:rsidRPr="0081799E">
        <w:rPr>
          <w:lang w:bidi="ar-SA"/>
        </w:rPr>
        <w:t xml:space="preserve">FSANZ has assessed the submitted evidence on the safety of </w:t>
      </w:r>
      <w:r>
        <w:rPr>
          <w:lang w:bidi="ar-SA"/>
        </w:rPr>
        <w:t>NR</w:t>
      </w:r>
      <w:r w:rsidR="00B91F18">
        <w:rPr>
          <w:lang w:bidi="ar-SA"/>
        </w:rPr>
        <w:t>C</w:t>
      </w:r>
      <w:r>
        <w:rPr>
          <w:lang w:bidi="ar-SA"/>
        </w:rPr>
        <w:t xml:space="preserve">, </w:t>
      </w:r>
      <w:r w:rsidRPr="0081799E">
        <w:rPr>
          <w:lang w:bidi="ar-SA"/>
        </w:rPr>
        <w:t xml:space="preserve">and information from other sources. The assessed data include information on </w:t>
      </w:r>
      <w:r>
        <w:rPr>
          <w:lang w:bidi="ar-SA"/>
        </w:rPr>
        <w:t xml:space="preserve">toxicity in laboratory animals, </w:t>
      </w:r>
      <w:r w:rsidRPr="0081799E">
        <w:rPr>
          <w:lang w:bidi="ar-SA"/>
        </w:rPr>
        <w:t xml:space="preserve">genotoxicity, and  </w:t>
      </w:r>
      <w:r>
        <w:rPr>
          <w:lang w:bidi="ar-SA"/>
        </w:rPr>
        <w:t>human tolerance studies.</w:t>
      </w:r>
      <w:r w:rsidRPr="0081799E">
        <w:rPr>
          <w:lang w:bidi="ar-SA"/>
        </w:rPr>
        <w:t xml:space="preserve"> The data are considered suitable to assess the hazard of </w:t>
      </w:r>
      <w:r>
        <w:rPr>
          <w:lang w:bidi="ar-SA"/>
        </w:rPr>
        <w:t>NR</w:t>
      </w:r>
      <w:r w:rsidR="00B91F18">
        <w:rPr>
          <w:lang w:bidi="ar-SA"/>
        </w:rPr>
        <w:t>C</w:t>
      </w:r>
      <w:r w:rsidRPr="0081799E">
        <w:rPr>
          <w:lang w:bidi="ar-SA"/>
        </w:rPr>
        <w:t>.</w:t>
      </w:r>
    </w:p>
    <w:p w14:paraId="4D1AD9BA" w14:textId="714F3440" w:rsidR="00D77D32" w:rsidRDefault="007734DE" w:rsidP="00BA6BAC">
      <w:pPr>
        <w:pStyle w:val="Heading3"/>
        <w:numPr>
          <w:ilvl w:val="2"/>
          <w:numId w:val="36"/>
        </w:numPr>
        <w:ind w:left="851" w:hanging="851"/>
      </w:pPr>
      <w:bookmarkStart w:id="259" w:name="_Toc65509069"/>
      <w:bookmarkStart w:id="260" w:name="_Toc65578806"/>
      <w:bookmarkStart w:id="261" w:name="_Toc65587200"/>
      <w:bookmarkStart w:id="262" w:name="_Toc65587170"/>
      <w:bookmarkStart w:id="263" w:name="_Toc65682779"/>
      <w:bookmarkStart w:id="264" w:name="_Toc65764320"/>
      <w:bookmarkStart w:id="265" w:name="_Toc65764653"/>
      <w:bookmarkStart w:id="266" w:name="_Toc65841222"/>
      <w:bookmarkStart w:id="267" w:name="_Toc66443237"/>
      <w:bookmarkStart w:id="268" w:name="_Toc66436793"/>
      <w:bookmarkStart w:id="269" w:name="_Toc66458145"/>
      <w:bookmarkStart w:id="270" w:name="_Toc66451419"/>
      <w:bookmarkStart w:id="271" w:name="_Toc66458812"/>
      <w:bookmarkStart w:id="272" w:name="_Toc66458945"/>
      <w:bookmarkStart w:id="273" w:name="_Toc66461640"/>
      <w:bookmarkStart w:id="274" w:name="_Toc69899748"/>
      <w:r w:rsidRPr="007734DE">
        <w:t>Characteristics of nicotinamide riboside chloride</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526C5F94" w14:textId="0A74BC03" w:rsidR="005E1CDA" w:rsidRDefault="0081799E" w:rsidP="0081799E">
      <w:pPr>
        <w:rPr>
          <w:lang w:bidi="ar-SA"/>
        </w:rPr>
      </w:pPr>
      <w:r>
        <w:rPr>
          <w:lang w:bidi="ar-SA"/>
        </w:rPr>
        <w:t>The chemical characteristics of NR</w:t>
      </w:r>
      <w:r w:rsidR="00B91F18">
        <w:rPr>
          <w:lang w:bidi="ar-SA"/>
        </w:rPr>
        <w:t>C</w:t>
      </w:r>
      <w:r>
        <w:rPr>
          <w:lang w:bidi="ar-SA"/>
        </w:rPr>
        <w:t xml:space="preserve"> are described in </w:t>
      </w:r>
      <w:r w:rsidR="00191195">
        <w:rPr>
          <w:lang w:bidi="ar-SA"/>
        </w:rPr>
        <w:t>S</w:t>
      </w:r>
      <w:r>
        <w:rPr>
          <w:lang w:bidi="ar-SA"/>
        </w:rPr>
        <w:t xml:space="preserve">ection </w:t>
      </w:r>
      <w:r w:rsidR="006919F7">
        <w:rPr>
          <w:lang w:bidi="ar-SA"/>
        </w:rPr>
        <w:t>4</w:t>
      </w:r>
      <w:r>
        <w:rPr>
          <w:lang w:bidi="ar-SA"/>
        </w:rPr>
        <w:t xml:space="preserve">. </w:t>
      </w:r>
    </w:p>
    <w:p w14:paraId="64EEA262" w14:textId="5ADD00F1" w:rsidR="007734DE" w:rsidRDefault="00D77D32" w:rsidP="00533BF1">
      <w:pPr>
        <w:pStyle w:val="Heading2"/>
      </w:pPr>
      <w:bookmarkStart w:id="275" w:name="_Toc65509070"/>
      <w:bookmarkStart w:id="276" w:name="_Toc65578807"/>
      <w:bookmarkStart w:id="277" w:name="_Toc65587201"/>
      <w:bookmarkStart w:id="278" w:name="_Toc65587171"/>
      <w:bookmarkStart w:id="279" w:name="_Toc65682780"/>
      <w:bookmarkStart w:id="280" w:name="_Toc65764321"/>
      <w:bookmarkStart w:id="281" w:name="_Toc65764654"/>
      <w:bookmarkStart w:id="282" w:name="_Toc65841223"/>
      <w:bookmarkStart w:id="283" w:name="_Toc66443238"/>
      <w:bookmarkStart w:id="284" w:name="_Toc66436794"/>
      <w:bookmarkStart w:id="285" w:name="_Toc66458146"/>
      <w:bookmarkStart w:id="286" w:name="_Toc66451420"/>
      <w:bookmarkStart w:id="287" w:name="_Toc66458813"/>
      <w:bookmarkStart w:id="288" w:name="_Toc66458946"/>
      <w:bookmarkStart w:id="289" w:name="_Toc66461641"/>
      <w:bookmarkStart w:id="290" w:name="_Toc69899749"/>
      <w:r>
        <w:t xml:space="preserve">Toxicological </w:t>
      </w:r>
      <w:r w:rsidR="007734DE">
        <w:t>data</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540A172" w14:textId="77777777" w:rsidR="00FE62E9" w:rsidRPr="00FE62E9" w:rsidRDefault="00FE62E9" w:rsidP="00FE62E9">
      <w:r w:rsidRPr="00FE62E9">
        <w:t xml:space="preserve">Except where otherwise stated, studies reviewed as part of this safety assessment were conducted using the NRC, manufactured by the applicant for commercial production, that is the subject of this application. </w:t>
      </w:r>
    </w:p>
    <w:p w14:paraId="1B7E4DE9" w14:textId="77777777" w:rsidR="00FE62E9" w:rsidRPr="00FE62E9" w:rsidRDefault="00FE62E9" w:rsidP="00FE62E9"/>
    <w:p w14:paraId="4DF02C56" w14:textId="7CDB4488" w:rsidR="005E1CDA" w:rsidRPr="00FE62E9" w:rsidRDefault="00FE62E9" w:rsidP="00FE62E9">
      <w:r w:rsidRPr="00FE62E9">
        <w:t xml:space="preserve">Kinetics and metabolism of NRC are reviewed in </w:t>
      </w:r>
      <w:r w:rsidR="00191195">
        <w:t>S</w:t>
      </w:r>
      <w:r w:rsidRPr="00FE62E9">
        <w:t>ection 2.3.</w:t>
      </w:r>
    </w:p>
    <w:p w14:paraId="37EE5F60" w14:textId="2EA7CC79" w:rsidR="007D2E2E" w:rsidRDefault="007D2E2E" w:rsidP="00BA6BAC">
      <w:pPr>
        <w:pStyle w:val="Heading3"/>
        <w:numPr>
          <w:ilvl w:val="2"/>
          <w:numId w:val="36"/>
        </w:numPr>
        <w:ind w:left="851" w:hanging="851"/>
      </w:pPr>
      <w:bookmarkStart w:id="291" w:name="_Toc65509071"/>
      <w:bookmarkStart w:id="292" w:name="_Toc65578808"/>
      <w:bookmarkStart w:id="293" w:name="_Toc65587202"/>
      <w:bookmarkStart w:id="294" w:name="_Toc65587172"/>
      <w:bookmarkStart w:id="295" w:name="_Toc65682781"/>
      <w:bookmarkStart w:id="296" w:name="_Toc65764322"/>
      <w:bookmarkStart w:id="297" w:name="_Toc65764655"/>
      <w:bookmarkStart w:id="298" w:name="_Toc65841224"/>
      <w:bookmarkStart w:id="299" w:name="_Toc66443239"/>
      <w:bookmarkStart w:id="300" w:name="_Toc66436795"/>
      <w:bookmarkStart w:id="301" w:name="_Toc66458147"/>
      <w:bookmarkStart w:id="302" w:name="_Toc66451421"/>
      <w:bookmarkStart w:id="303" w:name="_Toc66458814"/>
      <w:bookmarkStart w:id="304" w:name="_Toc66458947"/>
      <w:bookmarkStart w:id="305" w:name="_Toc66461642"/>
      <w:bookmarkStart w:id="306" w:name="_Toc69899750"/>
      <w:r w:rsidRPr="007D2E2E">
        <w:t>Acute toxicity studies in animals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0088A539" w14:textId="4882789C" w:rsidR="00AF5CD7" w:rsidRDefault="00AF5CD7" w:rsidP="00AF5CD7">
      <w:pPr>
        <w:rPr>
          <w:i/>
        </w:rPr>
      </w:pPr>
      <w:r w:rsidRPr="00205BD4">
        <w:rPr>
          <w:i/>
        </w:rPr>
        <w:t xml:space="preserve">Acute oral toxicity study of </w:t>
      </w:r>
      <w:r w:rsidR="00B91F18">
        <w:rPr>
          <w:i/>
        </w:rPr>
        <w:t>NRC</w:t>
      </w:r>
      <w:r w:rsidRPr="00205BD4">
        <w:rPr>
          <w:i/>
        </w:rPr>
        <w:t xml:space="preserve"> in Sprague Dawley rats. Unpublished study</w:t>
      </w:r>
      <w:r>
        <w:rPr>
          <w:i/>
        </w:rPr>
        <w:t xml:space="preserve"> report</w:t>
      </w:r>
      <w:r w:rsidRPr="00205BD4">
        <w:rPr>
          <w:i/>
        </w:rPr>
        <w:t xml:space="preserve">, Bhoite </w:t>
      </w:r>
      <w:r>
        <w:rPr>
          <w:i/>
        </w:rPr>
        <w:t xml:space="preserve">(study director) </w:t>
      </w:r>
      <w:r w:rsidRPr="00205BD4">
        <w:rPr>
          <w:i/>
        </w:rPr>
        <w:t>2014</w:t>
      </w:r>
      <w:r>
        <w:rPr>
          <w:i/>
        </w:rPr>
        <w:t xml:space="preserve">; </w:t>
      </w:r>
      <w:r w:rsidRPr="00603ADA">
        <w:rPr>
          <w:i/>
        </w:rPr>
        <w:t xml:space="preserve">published as part </w:t>
      </w:r>
      <w:r w:rsidRPr="00FF0209">
        <w:rPr>
          <w:i/>
        </w:rPr>
        <w:t xml:space="preserve">of Conze </w:t>
      </w:r>
      <w:r w:rsidRPr="00FC0353">
        <w:t>et al</w:t>
      </w:r>
      <w:r w:rsidRPr="00FF0209">
        <w:rPr>
          <w:i/>
        </w:rPr>
        <w:t xml:space="preserve"> 2016.</w:t>
      </w:r>
      <w:r w:rsidRPr="00205BD4">
        <w:rPr>
          <w:i/>
        </w:rPr>
        <w:t xml:space="preserve"> Regulatory status: GLP, compliant with USFDA-CDER Guidance </w:t>
      </w:r>
    </w:p>
    <w:p w14:paraId="1537375A" w14:textId="77777777" w:rsidR="00AF5CD7" w:rsidRDefault="00AF5CD7" w:rsidP="00AF5CD7">
      <w:pPr>
        <w:rPr>
          <w:i/>
        </w:rPr>
      </w:pPr>
    </w:p>
    <w:p w14:paraId="025341A8" w14:textId="63EA2245" w:rsidR="00AF5CD7" w:rsidRPr="000A44B2" w:rsidRDefault="00AF5CD7" w:rsidP="00AF5CD7">
      <w:pPr>
        <w:rPr>
          <w:color w:val="4F81BD" w:themeColor="accent1"/>
        </w:rPr>
      </w:pPr>
      <w:r>
        <w:t xml:space="preserve">Sprague Dawley rats, aged 6-8 weeks at the start of treatment, were housed 2-3/cage under standard laboratory environmental and husbandry conditions, to which they were acclimatized for 5 days prior to the start of the study. Rats were assigned, 5/sex/group, to either the vehicle control group and a test group. The vehicle/control article was purified water, and stability of the test article in water over the dosing period was established prior to Day 1. Rats were fasted overnight prior </w:t>
      </w:r>
      <w:r>
        <w:lastRenderedPageBreak/>
        <w:t xml:space="preserve">to dose administration on Day 1, at a dose volume of 10 mL/kg bw, and a dose of 0 or 5000 mg </w:t>
      </w:r>
      <w:r w:rsidR="00B91F18">
        <w:t>NRC</w:t>
      </w:r>
      <w:r>
        <w:t xml:space="preserve">/kg bw. </w:t>
      </w:r>
    </w:p>
    <w:p w14:paraId="4F0A6D5C" w14:textId="77777777" w:rsidR="00AF5CD7" w:rsidRDefault="00AF5CD7" w:rsidP="00AF5CD7"/>
    <w:p w14:paraId="5E1241C5" w14:textId="56D18481" w:rsidR="00AF5CD7" w:rsidRDefault="00AF5CD7" w:rsidP="00AF5CD7">
      <w:r>
        <w:t xml:space="preserve">Rats were subject to cageside examinations at 30 min, 1,2,3 and 4 h after dose administration, and twice daily for 14 days. Detailed clinical examinations were conducted prior to dose administration on Day 1, and on Days 8 and 15, and body weights were recorded according to the same schedule. Food consumption was recorded weekly from Day 1 to the end of the in-life phase. Rats were killed on Day 15 and gross necropsies were performed. </w:t>
      </w:r>
    </w:p>
    <w:p w14:paraId="7D720578" w14:textId="77777777" w:rsidR="00AF5CD7" w:rsidRDefault="00AF5CD7" w:rsidP="00AF5CD7"/>
    <w:p w14:paraId="1A48C3CF" w14:textId="77777777" w:rsidR="00AF5CD7" w:rsidRDefault="00AF5CD7" w:rsidP="00AF5CD7">
      <w:r>
        <w:t xml:space="preserve">All rats survived to the end of the study, no abnormal clinical signs were observed, there were no treatment-related effects on group mean values for food consumption, and no gross pathological lesions were found in any rats. The group mean cumulative body weight gain of treated females was significantly lower than that of control females, although the group mean value for Day 15 bodyweight of treated females was only 3% lower than that of control females. The lower cumulative body weight gain was considered to be treatment-related but not adverse. No corresponding change was observed in group mean values for cumulative body weight gain or Day 15 bodyweight in males. </w:t>
      </w:r>
    </w:p>
    <w:p w14:paraId="748C8F5F" w14:textId="77777777" w:rsidR="00AF5CD7" w:rsidRDefault="00AF5CD7" w:rsidP="00AF5CD7"/>
    <w:p w14:paraId="4F653209" w14:textId="671E786A" w:rsidR="00AF5CD7" w:rsidRDefault="00AF5CD7" w:rsidP="00AF5CD7">
      <w:r>
        <w:t xml:space="preserve">It was concluded that the acute lethal oral dose of </w:t>
      </w:r>
      <w:r w:rsidR="00B91F18">
        <w:t>NRC</w:t>
      </w:r>
      <w:r>
        <w:t xml:space="preserve"> in the Sprague Dawley rat is &gt;5000 mg/kg bw.</w:t>
      </w:r>
    </w:p>
    <w:p w14:paraId="634AF388" w14:textId="33AAF777" w:rsidR="007D2E2E" w:rsidRDefault="007D2E2E" w:rsidP="00BA6BAC">
      <w:pPr>
        <w:pStyle w:val="Heading3"/>
        <w:numPr>
          <w:ilvl w:val="2"/>
          <w:numId w:val="36"/>
        </w:numPr>
        <w:ind w:left="851" w:hanging="851"/>
      </w:pPr>
      <w:bookmarkStart w:id="307" w:name="_Toc65509072"/>
      <w:bookmarkStart w:id="308" w:name="_Toc65578809"/>
      <w:bookmarkStart w:id="309" w:name="_Toc65587203"/>
      <w:bookmarkStart w:id="310" w:name="_Toc65587173"/>
      <w:bookmarkStart w:id="311" w:name="_Toc65682782"/>
      <w:bookmarkStart w:id="312" w:name="_Toc65764323"/>
      <w:bookmarkStart w:id="313" w:name="_Toc65764656"/>
      <w:bookmarkStart w:id="314" w:name="_Toc65841225"/>
      <w:bookmarkStart w:id="315" w:name="_Toc66443240"/>
      <w:bookmarkStart w:id="316" w:name="_Toc66436796"/>
      <w:bookmarkStart w:id="317" w:name="_Toc66458148"/>
      <w:bookmarkStart w:id="318" w:name="_Toc66451422"/>
      <w:bookmarkStart w:id="319" w:name="_Toc66458815"/>
      <w:bookmarkStart w:id="320" w:name="_Toc66458948"/>
      <w:bookmarkStart w:id="321" w:name="_Toc66461643"/>
      <w:bookmarkStart w:id="322" w:name="_Toc69899751"/>
      <w:r w:rsidRPr="007D2E2E">
        <w:t>Short-term toxicity studies in animals</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0031CFF8" w14:textId="4BC5F420" w:rsidR="00AF5CD7" w:rsidRDefault="00AF5CD7" w:rsidP="00AF5CD7">
      <w:pPr>
        <w:rPr>
          <w:i/>
        </w:rPr>
      </w:pPr>
      <w:r>
        <w:rPr>
          <w:i/>
        </w:rPr>
        <w:t xml:space="preserve">14-day repeat-dose </w:t>
      </w:r>
      <w:r w:rsidRPr="00205BD4">
        <w:rPr>
          <w:i/>
        </w:rPr>
        <w:t xml:space="preserve">oral toxicity study of </w:t>
      </w:r>
      <w:r w:rsidR="00B91F18">
        <w:rPr>
          <w:i/>
        </w:rPr>
        <w:t>NRC</w:t>
      </w:r>
      <w:r w:rsidRPr="00205BD4">
        <w:rPr>
          <w:i/>
        </w:rPr>
        <w:t xml:space="preserve"> in Sprague Dawley rats. Unpublished study</w:t>
      </w:r>
      <w:r>
        <w:rPr>
          <w:i/>
        </w:rPr>
        <w:t xml:space="preserve"> report</w:t>
      </w:r>
      <w:r w:rsidRPr="00205BD4">
        <w:rPr>
          <w:i/>
        </w:rPr>
        <w:t xml:space="preserve">, Bhoite </w:t>
      </w:r>
      <w:r>
        <w:rPr>
          <w:i/>
        </w:rPr>
        <w:t xml:space="preserve">(study director) </w:t>
      </w:r>
      <w:r w:rsidRPr="00205BD4">
        <w:rPr>
          <w:i/>
        </w:rPr>
        <w:t>2014</w:t>
      </w:r>
      <w:r>
        <w:rPr>
          <w:i/>
        </w:rPr>
        <w:t xml:space="preserve">; published as part of Conze et al 2016. </w:t>
      </w:r>
      <w:r w:rsidRPr="00205BD4">
        <w:rPr>
          <w:i/>
        </w:rPr>
        <w:t xml:space="preserve"> Regulatory status: </w:t>
      </w:r>
      <w:r>
        <w:rPr>
          <w:i/>
        </w:rPr>
        <w:t xml:space="preserve">Not </w:t>
      </w:r>
      <w:r w:rsidRPr="00205BD4">
        <w:rPr>
          <w:i/>
        </w:rPr>
        <w:t xml:space="preserve">GLP </w:t>
      </w:r>
    </w:p>
    <w:p w14:paraId="12041272" w14:textId="77777777" w:rsidR="00AF5CD7" w:rsidRDefault="00AF5CD7" w:rsidP="00AF5CD7"/>
    <w:p w14:paraId="41445F7B" w14:textId="3DF595E4" w:rsidR="00AF5CD7" w:rsidRDefault="00AF5CD7" w:rsidP="00AF5CD7">
      <w:r>
        <w:t xml:space="preserve">Rats used in this study were 6 to 7 weeks of age at the start of treatment. They </w:t>
      </w:r>
      <w:r w:rsidRPr="00B26D2C">
        <w:t>were housed 2-3/cage under standard laboratory environmental and husbandry conditions, to which they were acclimatized for 5 days prior to the start of the study.</w:t>
      </w:r>
      <w:r>
        <w:t xml:space="preserve"> They were assigned to five groups comprising 5/sex/group. Stability of the test article in solution in purified water, the vehicle and control article, was established, and concentration and homogeneity of the Day 1 dose formulations was confirmed by analysis. Rats were gavaged daily for 14 days with </w:t>
      </w:r>
      <w:r w:rsidR="00B91F18">
        <w:t>NRC</w:t>
      </w:r>
      <w:r>
        <w:t xml:space="preserve"> at 0, 750, 1500, 2500 or 5000 mg/kg bw, at a dose volume of 10 mL/kg bw. </w:t>
      </w:r>
    </w:p>
    <w:p w14:paraId="770FBF23" w14:textId="77777777" w:rsidR="00AF5CD7" w:rsidRDefault="00AF5CD7" w:rsidP="00AF5CD7"/>
    <w:p w14:paraId="3224A2BE" w14:textId="47E36C14" w:rsidR="00AF5CD7" w:rsidRDefault="00AF5CD7" w:rsidP="00AF5CD7">
      <w:r>
        <w:t xml:space="preserve">Rats were subject to twice-daily mortality/moribundity checks, and daily clinical observations. Detailed clinical examinations were conducted on Day 1 prior to dose administration, and on Days 8 and 14. Body weights were recorded prior to treatment on </w:t>
      </w:r>
      <w:r w:rsidR="00126B96">
        <w:t xml:space="preserve">several </w:t>
      </w:r>
      <w:r w:rsidR="00CE1FA0">
        <w:t>d</w:t>
      </w:r>
      <w:r>
        <w:t>ay</w:t>
      </w:r>
      <w:r w:rsidR="00126B96">
        <w:t>s</w:t>
      </w:r>
      <w:r>
        <w:t xml:space="preserve">, and also recorded prior to killing on Day 15. Food consumption was recorded on </w:t>
      </w:r>
      <w:r w:rsidR="00126B96">
        <w:t xml:space="preserve">several </w:t>
      </w:r>
      <w:r w:rsidR="00CE1FA0">
        <w:t>d</w:t>
      </w:r>
      <w:r>
        <w:t>ays</w:t>
      </w:r>
      <w:r w:rsidR="00F45285" w:rsidRPr="00F45285">
        <w:rPr>
          <w:color w:val="4F81BD" w:themeColor="accent1"/>
        </w:rPr>
        <w:t xml:space="preserve"> </w:t>
      </w:r>
      <w:r w:rsidR="00F45285">
        <w:t xml:space="preserve">and </w:t>
      </w:r>
      <w:r w:rsidR="00126B96">
        <w:t xml:space="preserve">finally on Day </w:t>
      </w:r>
      <w:r w:rsidR="00F45285">
        <w:t>15</w:t>
      </w:r>
      <w:r>
        <w:t xml:space="preserve">. Rats were killed </w:t>
      </w:r>
      <w:r w:rsidR="00126B96">
        <w:t xml:space="preserve">on </w:t>
      </w:r>
      <w:r>
        <w:t xml:space="preserve">Day 15 and were subject to gross necropsy. </w:t>
      </w:r>
    </w:p>
    <w:p w14:paraId="428424C5" w14:textId="77777777" w:rsidR="00AF5CD7" w:rsidRDefault="00AF5CD7" w:rsidP="00AF5CD7"/>
    <w:p w14:paraId="628379EC" w14:textId="77777777" w:rsidR="00AF5CD7" w:rsidRDefault="00AF5CD7" w:rsidP="00AF5CD7">
      <w:r>
        <w:t>All rats survived to the end of the in-life phase and there were no abnormal clinical signs observed. There were no gross lesions on necropsy of any rat.</w:t>
      </w:r>
    </w:p>
    <w:p w14:paraId="68E94333" w14:textId="77777777" w:rsidR="00AF5CD7" w:rsidRDefault="00AF5CD7" w:rsidP="00AF5CD7"/>
    <w:p w14:paraId="57C3EE04" w14:textId="77777777" w:rsidR="00AF5CD7" w:rsidRDefault="00AF5CD7" w:rsidP="00AF5CD7">
      <w:r>
        <w:t xml:space="preserve">Statistically significant decreases in group mean bodyweight values, as compared to the control group of the same sex, were observed in male rats dosed with </w:t>
      </w:r>
      <w:r>
        <w:rPr>
          <w:rFonts w:cs="Arial"/>
        </w:rPr>
        <w:t>≥</w:t>
      </w:r>
      <w:r>
        <w:t xml:space="preserve">2500 mg/kg bw/day, on Days 8, 11, 14 and 15. Decreases relative to the male control values on the same days were 7-8% for 2500 mg/kg bw/day males, and 8-9% for 5000 mg/kg bw/day males. In 5000 mg/kg bw/day males, the group mean value for </w:t>
      </w:r>
      <w:r>
        <w:lastRenderedPageBreak/>
        <w:t xml:space="preserve">overall food consumption was decreased by 8% relative to that of male controls, but the difference was not statistically significant. </w:t>
      </w:r>
    </w:p>
    <w:p w14:paraId="128EFE46" w14:textId="77777777" w:rsidR="00AF5CD7" w:rsidRDefault="00AF5CD7" w:rsidP="00AF5CD7"/>
    <w:p w14:paraId="12BD8FB6" w14:textId="77777777" w:rsidR="00AF5CD7" w:rsidRDefault="00AF5CD7" w:rsidP="00AF5CD7">
      <w:r>
        <w:t xml:space="preserve">There were no treatment-related effects of group mean values for bodyweight gain or food consumption in female rats.  </w:t>
      </w:r>
    </w:p>
    <w:p w14:paraId="0D3EE926" w14:textId="77777777" w:rsidR="00AF5CD7" w:rsidRDefault="00AF5CD7" w:rsidP="00AF5CD7"/>
    <w:p w14:paraId="41831AD7" w14:textId="23FBDFD5" w:rsidR="00AF5CD7" w:rsidRDefault="00AF5CD7" w:rsidP="00AF5CD7">
      <w:r>
        <w:t>The study director concluded that the decreases in group mean bodyweights were trea</w:t>
      </w:r>
      <w:r w:rsidR="00A35C2C">
        <w:t xml:space="preserve">tment-related but not adverse. </w:t>
      </w:r>
    </w:p>
    <w:p w14:paraId="5DA9813F" w14:textId="77777777" w:rsidR="00AF5CD7" w:rsidRDefault="00AF5CD7" w:rsidP="00AF5CD7"/>
    <w:p w14:paraId="2FFDEBD2" w14:textId="22BD1899" w:rsidR="00AF5CD7" w:rsidRDefault="00AF5CD7" w:rsidP="00AF5CD7">
      <w:pPr>
        <w:rPr>
          <w:i/>
        </w:rPr>
      </w:pPr>
      <w:r>
        <w:rPr>
          <w:i/>
        </w:rPr>
        <w:t xml:space="preserve">90-day repeat-dose </w:t>
      </w:r>
      <w:r w:rsidRPr="00205BD4">
        <w:rPr>
          <w:i/>
        </w:rPr>
        <w:t xml:space="preserve">oral toxicity study of </w:t>
      </w:r>
      <w:r w:rsidR="00B91F18">
        <w:rPr>
          <w:i/>
        </w:rPr>
        <w:t>NRC</w:t>
      </w:r>
      <w:r w:rsidRPr="00205BD4">
        <w:rPr>
          <w:i/>
        </w:rPr>
        <w:t xml:space="preserve"> </w:t>
      </w:r>
      <w:r>
        <w:rPr>
          <w:i/>
        </w:rPr>
        <w:t xml:space="preserve">and </w:t>
      </w:r>
      <w:r w:rsidR="004D69A0">
        <w:rPr>
          <w:i/>
        </w:rPr>
        <w:t xml:space="preserve">Nam </w:t>
      </w:r>
      <w:r w:rsidRPr="00205BD4">
        <w:rPr>
          <w:i/>
        </w:rPr>
        <w:t xml:space="preserve">in Sprague Dawley rats. Unpublished study, Bhoite </w:t>
      </w:r>
      <w:r>
        <w:rPr>
          <w:i/>
        </w:rPr>
        <w:t xml:space="preserve">(study director) </w:t>
      </w:r>
      <w:r w:rsidRPr="00205BD4">
        <w:rPr>
          <w:i/>
        </w:rPr>
        <w:t>201</w:t>
      </w:r>
      <w:r>
        <w:rPr>
          <w:i/>
        </w:rPr>
        <w:t>5; published as part of Conze et al 2016</w:t>
      </w:r>
      <w:r w:rsidRPr="00205BD4">
        <w:rPr>
          <w:i/>
        </w:rPr>
        <w:t xml:space="preserve">. Regulatory status: </w:t>
      </w:r>
      <w:r>
        <w:rPr>
          <w:i/>
        </w:rPr>
        <w:t>GLP; OECD guidelines</w:t>
      </w:r>
      <w:r w:rsidR="00F8170F" w:rsidRPr="00F8170F">
        <w:t>.</w:t>
      </w:r>
    </w:p>
    <w:p w14:paraId="3B4C9807" w14:textId="77777777" w:rsidR="00AF5CD7" w:rsidRDefault="00AF5CD7" w:rsidP="00AF5CD7">
      <w:pPr>
        <w:rPr>
          <w:i/>
        </w:rPr>
      </w:pPr>
    </w:p>
    <w:p w14:paraId="04711BFD" w14:textId="0232FAD7" w:rsidR="00AF5CD7" w:rsidRDefault="00AF5CD7" w:rsidP="00AF5CD7">
      <w:r>
        <w:t xml:space="preserve">The positive control article for this study, </w:t>
      </w:r>
      <w:r w:rsidR="004D69A0">
        <w:t>Nam</w:t>
      </w:r>
      <w:r>
        <w:t xml:space="preserve">, was purchased from Sigma-Aldrich. </w:t>
      </w:r>
    </w:p>
    <w:p w14:paraId="024B6B6A" w14:textId="77777777" w:rsidR="00AF5CD7" w:rsidRDefault="00AF5CD7" w:rsidP="00AF5CD7"/>
    <w:p w14:paraId="22648552" w14:textId="406FEC3E" w:rsidR="00AF5CD7" w:rsidRDefault="00AF5CD7" w:rsidP="00AF5CD7">
      <w:r>
        <w:t>Rats ranged in age from 41-55 days at the start of treatment. Rats were housed 1-2/cage under standard laboratory conditions of environment and husbandry. After 5-6 days of acclimatisation, t</w:t>
      </w:r>
      <w:r w:rsidRPr="002E76FF">
        <w:t xml:space="preserve">hey were assigned to five core cohort groups of 10/sex/group and two </w:t>
      </w:r>
      <w:r w:rsidR="00DF6541">
        <w:t>toxicokinetics (</w:t>
      </w:r>
      <w:r w:rsidRPr="002E76FF">
        <w:t>TK</w:t>
      </w:r>
      <w:r w:rsidR="00DF6541">
        <w:t>)</w:t>
      </w:r>
      <w:r w:rsidRPr="002E76FF">
        <w:t xml:space="preserve"> cohort groups of 9/sex/group.</w:t>
      </w:r>
      <w:r>
        <w:t xml:space="preserve"> The main cohort groups were vehicle control, positive control, and 300, 1000 or 3000 mg/kg bw/day </w:t>
      </w:r>
      <w:r w:rsidR="00B91F18">
        <w:t>NRC</w:t>
      </w:r>
      <w:r>
        <w:t xml:space="preserve">. The vehicle was purified water, in which both </w:t>
      </w:r>
      <w:r w:rsidR="00B91F18">
        <w:t>NRC</w:t>
      </w:r>
      <w:r>
        <w:t xml:space="preserve"> and </w:t>
      </w:r>
      <w:r w:rsidR="004D69A0">
        <w:t xml:space="preserve">Nam </w:t>
      </w:r>
      <w:r>
        <w:t xml:space="preserve">were completely soluble. </w:t>
      </w:r>
      <w:r w:rsidR="004D69A0">
        <w:t xml:space="preserve">Nam </w:t>
      </w:r>
      <w:r>
        <w:t xml:space="preserve">was administered to the positive control group at a dose level of 1260 mg/kg bw/day, equimolar to the high dose group. The TK groups were administered either 420 mg/kg bw/day </w:t>
      </w:r>
      <w:r w:rsidR="004D69A0">
        <w:t>Nam</w:t>
      </w:r>
      <w:r>
        <w:t xml:space="preserve">, or 1000 mg/kg bw/day </w:t>
      </w:r>
      <w:r w:rsidR="00B91F18">
        <w:t>NRC</w:t>
      </w:r>
      <w:r>
        <w:t xml:space="preserve">, on an equimolar basis. Formulations were used within the pre-established stability period, and formulation concentrations were verified by analysis in Weeks 1, 7 and 13. All rats were gavaged at a constant dose volume of 10 ml/kg bw. </w:t>
      </w:r>
    </w:p>
    <w:p w14:paraId="055B5D08" w14:textId="77777777" w:rsidR="00AF5CD7" w:rsidRDefault="00AF5CD7" w:rsidP="00AF5CD7"/>
    <w:p w14:paraId="1D0CB5E7" w14:textId="1791F6BE" w:rsidR="00AF5CD7" w:rsidRDefault="00AF5CD7" w:rsidP="00AF5CD7">
      <w:r>
        <w:t>Observations included twice-daily mortality/moribundity checks, daily cageside observations, and weekly detailed clinical observations. Ophthalmoscopic examinations were</w:t>
      </w:r>
      <w:r w:rsidR="00101B1E">
        <w:t xml:space="preserve"> also</w:t>
      </w:r>
      <w:r>
        <w:t xml:space="preserve"> conducted. Body weights were recorded on Day 1 prior to dosing, and weekly thereafter, and feed consumption was recorded weekly </w:t>
      </w:r>
      <w:r w:rsidR="000001E5">
        <w:t>according to the same schedule</w:t>
      </w:r>
      <w:r>
        <w:t xml:space="preserve">. Urine </w:t>
      </w:r>
      <w:r w:rsidR="000001E5">
        <w:t xml:space="preserve">for analysis </w:t>
      </w:r>
      <w:r>
        <w:t xml:space="preserve">was collected overnight from core cohort rats prior to necropsy. A fasted terminal bodyweight was recorded prior to killing each rat on the last day of the in-life phase, and blood was collected for assessment of haematology, coagulation parameters and clinical chemistry. Core cohort rats were killed by exsanguination while under anaesthesia, and subject to gross necropsy. Fresh weights were recorded for </w:t>
      </w:r>
      <w:r w:rsidRPr="00ED4AEB">
        <w:t xml:space="preserve">adrenals, brain, heart, kidneys, liver, pituitary, spleen, thymus, thyroid/parathyroid. </w:t>
      </w:r>
      <w:r>
        <w:t>Fresh weights were also recorded for epididymides, testes and accessory sex glands of males, and</w:t>
      </w:r>
      <w:r w:rsidR="00F8170F">
        <w:t xml:space="preserve"> ovaries and uteri of females. </w:t>
      </w:r>
      <w:r w:rsidRPr="00ED4AEB">
        <w:t>Paired organs were weighed together.</w:t>
      </w:r>
      <w:r>
        <w:t xml:space="preserve"> A comprehensive list of organs and tissues from core cohort rats were fixed and processed for histopathology. Initial microscopic examination of the negative control, positive control and 3000 mg/kg bw/day groups was followed by examination of liver, kidneys, thyroids, testes, epididymides, ovaries and adrenals from all other core cohort rats. </w:t>
      </w:r>
    </w:p>
    <w:p w14:paraId="0BAB2907" w14:textId="77777777" w:rsidR="00AF5CD7" w:rsidRDefault="00AF5CD7" w:rsidP="00AF5CD7"/>
    <w:p w14:paraId="760E1951" w14:textId="499247BA" w:rsidR="000B792C" w:rsidRDefault="00AF5CD7" w:rsidP="00AF5CD7">
      <w:r>
        <w:t>There were no treatment-related effects on survival, clinical signs, ophthalmology findings, coagulation parameters, or urinalysis findings. There were no adverse findings of any kind in the 300 mg/kg bw/day group. The mid dose, 1000 mg/kg bw/day, was identified as the lowest observed adver</w:t>
      </w:r>
      <w:r w:rsidR="00F8170F">
        <w:t xml:space="preserve">se effect level (LOAEL) on the </w:t>
      </w:r>
      <w:r>
        <w:t xml:space="preserve">basis of </w:t>
      </w:r>
      <w:r w:rsidR="004D23F9">
        <w:t xml:space="preserve">statistically </w:t>
      </w:r>
      <w:r>
        <w:t xml:space="preserve">significant increases in group mean values for </w:t>
      </w:r>
      <w:r w:rsidR="004D23F9">
        <w:t>leucocytes (21% increase)</w:t>
      </w:r>
      <w:r>
        <w:t xml:space="preserve"> in males and in ALT</w:t>
      </w:r>
      <w:r w:rsidR="004D23F9">
        <w:t xml:space="preserve"> (36% increase)</w:t>
      </w:r>
      <w:r>
        <w:t xml:space="preserve">, and triglycerides </w:t>
      </w:r>
      <w:r w:rsidR="004D23F9">
        <w:t>(65% increase)</w:t>
      </w:r>
      <w:r>
        <w:t xml:space="preserve"> in females. When compared to group mean values for negative control rats of the </w:t>
      </w:r>
      <w:r>
        <w:lastRenderedPageBreak/>
        <w:t xml:space="preserve">same sex, treatment with 3000 mg/kg bw/day </w:t>
      </w:r>
      <w:r w:rsidR="00B91F18">
        <w:t>NRC</w:t>
      </w:r>
      <w:r>
        <w:t xml:space="preserve"> and with 1260 mg/kg bw/day </w:t>
      </w:r>
      <w:r w:rsidR="004D69A0">
        <w:t xml:space="preserve">Nam </w:t>
      </w:r>
      <w:r>
        <w:t>was associated with decreased food consumption and significant (&gt;10%) reduction in group mean bodyweights of males; significant increases in group mean values for neutrophils in both sexes; significant increases in group mean values for ALT, ALP a</w:t>
      </w:r>
      <w:r w:rsidR="00F8170F">
        <w:t xml:space="preserve">nd triglyceride in both sexes; </w:t>
      </w:r>
      <w:r>
        <w:t xml:space="preserve">significant increases in group mean values for AST and gamma glutamyl transferase (GGT) in females; significant increases in group mean values for relative weight of liver and kidneys in both sexes; significant increases in absolute weights of testes and epididymides in males; and significant increases in relative weights in ovaries in females. Both 3000 mg/kg bw/day </w:t>
      </w:r>
      <w:r w:rsidR="00B91F18">
        <w:t>NRC</w:t>
      </w:r>
      <w:r w:rsidR="00F8170F">
        <w:t xml:space="preserve"> and </w:t>
      </w:r>
      <w:r>
        <w:t xml:space="preserve">1260 mg/kg bw/day </w:t>
      </w:r>
      <w:r w:rsidR="004D69A0">
        <w:t xml:space="preserve">Nam </w:t>
      </w:r>
      <w:r>
        <w:t xml:space="preserve">were also associated with increased incidences in both sexes of hepatocellular hypertrophy, thyroid follicular cell hypertrophy, chronic progressive nephropathy, and hypertrophy of the zona glomerulosa of the adrenals; increased incidences in females of single-cell hepatocyte necrosis and hypertrophy of corpora lutea; and in males, increased incidences of degeneration/atrophy of tubules in the testes, increased luminal debris in the epididymides, and reduced numbers of luminal sperm. </w:t>
      </w:r>
      <w:r w:rsidR="000B792C">
        <w:t>Results from the TK cohorts are presented in Section 2.3.2.</w:t>
      </w:r>
    </w:p>
    <w:p w14:paraId="15267A28" w14:textId="1EFA43C0" w:rsidR="00AF5CD7" w:rsidRDefault="00AF5CD7" w:rsidP="00AF5CD7"/>
    <w:p w14:paraId="00291CD0" w14:textId="67D2C08A" w:rsidR="00AF5CD7" w:rsidRDefault="00AF5CD7" w:rsidP="00AF5CD7">
      <w:r>
        <w:t>It was concluded that 300 mg/kg bw/day was the</w:t>
      </w:r>
      <w:r w:rsidR="00082564">
        <w:t xml:space="preserve"> </w:t>
      </w:r>
      <w:r w:rsidR="00082564" w:rsidRPr="004E0B3A">
        <w:t>no</w:t>
      </w:r>
      <w:r w:rsidR="00082564">
        <w:t xml:space="preserve"> </w:t>
      </w:r>
      <w:r w:rsidR="00082564" w:rsidRPr="004E0B3A">
        <w:t>observed</w:t>
      </w:r>
      <w:r w:rsidR="00082564">
        <w:t xml:space="preserve"> </w:t>
      </w:r>
      <w:r w:rsidR="00082564" w:rsidRPr="004E0B3A">
        <w:t>adverse</w:t>
      </w:r>
      <w:r w:rsidR="00082564">
        <w:t xml:space="preserve"> </w:t>
      </w:r>
      <w:r w:rsidR="00082564" w:rsidRPr="004E0B3A">
        <w:t>effect level </w:t>
      </w:r>
      <w:r w:rsidR="00082564">
        <w:t>(</w:t>
      </w:r>
      <w:r>
        <w:t>NOAEL</w:t>
      </w:r>
      <w:r w:rsidR="00082564">
        <w:t>)</w:t>
      </w:r>
      <w:r>
        <w:t xml:space="preserve">, and 1000 mg/kg bw/day the LOAEL. It was noted that </w:t>
      </w:r>
      <w:r w:rsidR="00B91F18">
        <w:t>NRC</w:t>
      </w:r>
      <w:r>
        <w:t xml:space="preserve"> and </w:t>
      </w:r>
      <w:r w:rsidR="004D69A0">
        <w:t xml:space="preserve">Nam </w:t>
      </w:r>
      <w:r>
        <w:t xml:space="preserve">had the same adverse effects at equimolar doses of 3000 mg/kg bw/day </w:t>
      </w:r>
      <w:r w:rsidR="00B91F18">
        <w:t>NRC</w:t>
      </w:r>
      <w:r>
        <w:t xml:space="preserve"> and 1260 mg/kg bw/day </w:t>
      </w:r>
      <w:r w:rsidR="004D69A0">
        <w:t>Nam</w:t>
      </w:r>
      <w:r>
        <w:t>.</w:t>
      </w:r>
    </w:p>
    <w:p w14:paraId="15FA2B08" w14:textId="7C33B596" w:rsidR="004439EE" w:rsidRDefault="004439EE" w:rsidP="00AF5CD7"/>
    <w:p w14:paraId="12B946CE" w14:textId="3695B31A" w:rsidR="00AF5CD7" w:rsidRPr="00ED57D7" w:rsidRDefault="00A950FA" w:rsidP="00AF5CD7">
      <w:pPr>
        <w:rPr>
          <w:sz w:val="23"/>
          <w:szCs w:val="23"/>
          <w:highlight w:val="yellow"/>
        </w:rPr>
      </w:pPr>
      <w:r>
        <w:t xml:space="preserve">Additional animal studies were provided for assessment but cannot be disclosed </w:t>
      </w:r>
      <w:r>
        <w:rPr>
          <w:rFonts w:cs="Arial"/>
        </w:rPr>
        <w:t xml:space="preserve">because it is </w:t>
      </w:r>
      <w:r w:rsidRPr="005A4C20">
        <w:rPr>
          <w:rFonts w:cs="Arial"/>
        </w:rPr>
        <w:t>CCI</w:t>
      </w:r>
      <w:r w:rsidRPr="007133AE">
        <w:rPr>
          <w:rFonts w:cs="Arial"/>
        </w:rPr>
        <w:t>. The toxicological assessment supports the</w:t>
      </w:r>
      <w:r w:rsidRPr="00082564">
        <w:rPr>
          <w:rFonts w:cs="Arial"/>
        </w:rPr>
        <w:t xml:space="preserve"> </w:t>
      </w:r>
      <w:r w:rsidRPr="00082564">
        <w:t>NOAEL stated above of 300 mg/kg bw/day.</w:t>
      </w:r>
      <w:r w:rsidR="00AF5CD7" w:rsidRPr="00ED57D7">
        <w:rPr>
          <w:color w:val="000000" w:themeColor="text1"/>
          <w:sz w:val="23"/>
          <w:szCs w:val="23"/>
          <w:highlight w:val="yellow"/>
        </w:rPr>
        <w:t xml:space="preserve"> </w:t>
      </w:r>
    </w:p>
    <w:p w14:paraId="3573B12E" w14:textId="0FD06C77" w:rsidR="007D2E2E" w:rsidRDefault="007D2E2E" w:rsidP="00BA6BAC">
      <w:pPr>
        <w:pStyle w:val="Heading3"/>
        <w:numPr>
          <w:ilvl w:val="2"/>
          <w:numId w:val="36"/>
        </w:numPr>
        <w:ind w:left="851" w:hanging="851"/>
      </w:pPr>
      <w:bookmarkStart w:id="323" w:name="_Toc65509073"/>
      <w:bookmarkStart w:id="324" w:name="_Toc65578810"/>
      <w:bookmarkStart w:id="325" w:name="_Toc65587204"/>
      <w:bookmarkStart w:id="326" w:name="_Toc65587174"/>
      <w:bookmarkStart w:id="327" w:name="_Toc65682783"/>
      <w:bookmarkStart w:id="328" w:name="_Toc65764324"/>
      <w:bookmarkStart w:id="329" w:name="_Toc65764657"/>
      <w:bookmarkStart w:id="330" w:name="_Toc65841226"/>
      <w:bookmarkStart w:id="331" w:name="_Toc66443241"/>
      <w:bookmarkStart w:id="332" w:name="_Toc66436797"/>
      <w:bookmarkStart w:id="333" w:name="_Toc66458149"/>
      <w:bookmarkStart w:id="334" w:name="_Toc66451423"/>
      <w:bookmarkStart w:id="335" w:name="_Toc66458816"/>
      <w:bookmarkStart w:id="336" w:name="_Toc66458949"/>
      <w:bookmarkStart w:id="337" w:name="_Toc66461644"/>
      <w:bookmarkStart w:id="338" w:name="_Toc69899752"/>
      <w:r w:rsidRPr="007D2E2E">
        <w:t>Long-term toxicity/carcinogenicity studies in animals</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3BFE19F" w14:textId="1740C6A0" w:rsidR="00AF2384" w:rsidRDefault="00AF2384" w:rsidP="00AF2384">
      <w:r>
        <w:t xml:space="preserve">No long-term studies of </w:t>
      </w:r>
      <w:r w:rsidR="00B91F18">
        <w:t>NRC</w:t>
      </w:r>
      <w:r>
        <w:t xml:space="preserve"> in animals were submitted by the applicant or located by literature search. </w:t>
      </w:r>
    </w:p>
    <w:p w14:paraId="3185DA24" w14:textId="1217BAA6" w:rsidR="007D2E2E" w:rsidRDefault="007D2E2E" w:rsidP="00BA6BAC">
      <w:pPr>
        <w:pStyle w:val="Heading3"/>
        <w:numPr>
          <w:ilvl w:val="2"/>
          <w:numId w:val="36"/>
        </w:numPr>
        <w:ind w:left="851" w:hanging="851"/>
      </w:pPr>
      <w:bookmarkStart w:id="339" w:name="_Toc65509074"/>
      <w:bookmarkStart w:id="340" w:name="_Toc65578811"/>
      <w:bookmarkStart w:id="341" w:name="_Toc65587205"/>
      <w:bookmarkStart w:id="342" w:name="_Toc65587175"/>
      <w:bookmarkStart w:id="343" w:name="_Toc65682784"/>
      <w:bookmarkStart w:id="344" w:name="_Toc65764325"/>
      <w:bookmarkStart w:id="345" w:name="_Toc65764658"/>
      <w:bookmarkStart w:id="346" w:name="_Toc65841227"/>
      <w:bookmarkStart w:id="347" w:name="_Toc66443242"/>
      <w:bookmarkStart w:id="348" w:name="_Toc66436798"/>
      <w:bookmarkStart w:id="349" w:name="_Toc66458150"/>
      <w:bookmarkStart w:id="350" w:name="_Toc66451424"/>
      <w:bookmarkStart w:id="351" w:name="_Toc66458817"/>
      <w:bookmarkStart w:id="352" w:name="_Toc66458950"/>
      <w:bookmarkStart w:id="353" w:name="_Toc66461645"/>
      <w:bookmarkStart w:id="354" w:name="_Toc69899753"/>
      <w:r w:rsidRPr="007D2E2E">
        <w:t>Genotoxicity assays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30E3F700" w14:textId="5B161153" w:rsidR="00AF2384" w:rsidRDefault="00AF2384" w:rsidP="00AF2384">
      <w:r>
        <w:t xml:space="preserve">Genotoxicity assays of </w:t>
      </w:r>
      <w:r w:rsidR="00B91F18">
        <w:t>NRC</w:t>
      </w:r>
      <w:r>
        <w:t xml:space="preserve"> include a bacterial reverse mutation assay (Ames test), a chromosomal aberration assay in human peripheral blood lymphocytes, and a micronucleus assay in rats.</w:t>
      </w:r>
    </w:p>
    <w:p w14:paraId="34877A77" w14:textId="77777777" w:rsidR="00AF2384" w:rsidRDefault="00AF2384" w:rsidP="00AF2384"/>
    <w:p w14:paraId="4C71FB4D" w14:textId="08D2026D" w:rsidR="00AF2384" w:rsidRPr="00E96D87" w:rsidRDefault="00AF2384" w:rsidP="00AF2384">
      <w:pPr>
        <w:rPr>
          <w:i/>
        </w:rPr>
      </w:pPr>
      <w:r w:rsidRPr="00E96D87">
        <w:rPr>
          <w:i/>
        </w:rPr>
        <w:t xml:space="preserve">Bacterial reverse mutation assay of </w:t>
      </w:r>
      <w:r w:rsidR="00B91F18" w:rsidRPr="00E96D87">
        <w:rPr>
          <w:i/>
        </w:rPr>
        <w:t>NRC</w:t>
      </w:r>
      <w:r w:rsidRPr="00E96D87">
        <w:rPr>
          <w:i/>
        </w:rPr>
        <w:t>. Unpublished study</w:t>
      </w:r>
      <w:r w:rsidR="00E96D87">
        <w:rPr>
          <w:i/>
        </w:rPr>
        <w:t xml:space="preserve"> report</w:t>
      </w:r>
      <w:r w:rsidRPr="00E96D87">
        <w:rPr>
          <w:i/>
        </w:rPr>
        <w:t>, Kamath (study director) 2015</w:t>
      </w:r>
      <w:r w:rsidR="008F6262">
        <w:rPr>
          <w:i/>
        </w:rPr>
        <w:t>;</w:t>
      </w:r>
      <w:r w:rsidR="00E96D87" w:rsidRPr="00E96D87">
        <w:t xml:space="preserve"> </w:t>
      </w:r>
      <w:r w:rsidR="00E96D87" w:rsidRPr="00E96D87">
        <w:rPr>
          <w:i/>
        </w:rPr>
        <w:t>publis</w:t>
      </w:r>
      <w:r w:rsidR="00E96D87">
        <w:rPr>
          <w:i/>
        </w:rPr>
        <w:t>hed as part of Conze et al 2016</w:t>
      </w:r>
      <w:r w:rsidRPr="00E96D87">
        <w:rPr>
          <w:i/>
        </w:rPr>
        <w:t>. Regulatory status: GLP; compliant with Guideline OECD 471.</w:t>
      </w:r>
    </w:p>
    <w:p w14:paraId="4BC28B2B" w14:textId="77777777" w:rsidR="00AF2384" w:rsidRDefault="00AF2384" w:rsidP="00AF2384">
      <w:pPr>
        <w:rPr>
          <w:i/>
        </w:rPr>
      </w:pPr>
    </w:p>
    <w:p w14:paraId="211F3157" w14:textId="42C38B43" w:rsidR="00AF2384" w:rsidRDefault="00AF2384" w:rsidP="00AF2384">
      <w:r>
        <w:t xml:space="preserve">Test strains used for this assay were </w:t>
      </w:r>
      <w:r w:rsidRPr="00757874">
        <w:rPr>
          <w:i/>
        </w:rPr>
        <w:t>Salmonella typhimurium</w:t>
      </w:r>
      <w:r>
        <w:t xml:space="preserve"> strains TA98, TA100, TA1535 and TA 1537, and </w:t>
      </w:r>
      <w:r w:rsidRPr="00757874">
        <w:rPr>
          <w:i/>
        </w:rPr>
        <w:t>Escherichia coli</w:t>
      </w:r>
      <w:r>
        <w:t xml:space="preserve"> strain WP2 uvrA.</w:t>
      </w:r>
      <w:r w:rsidRPr="00DD3405">
        <w:rPr>
          <w:i/>
        </w:rPr>
        <w:t xml:space="preserve"> </w:t>
      </w:r>
      <w:r>
        <w:t xml:space="preserve">The vehicle and control article was water. </w:t>
      </w:r>
    </w:p>
    <w:p w14:paraId="62C25491" w14:textId="77777777" w:rsidR="003517B4" w:rsidRDefault="003517B4" w:rsidP="00AF2384"/>
    <w:p w14:paraId="44B4A4FB" w14:textId="77777777" w:rsidR="00AF2384" w:rsidRDefault="00AF2384" w:rsidP="00AF2384">
      <w:r>
        <w:t xml:space="preserve">In the first mutagenicity assay, performed using the plate incorporation method, no positive mutagenic responses were observed with any of the test strains, in either the presence or absence of S9 activation. Dose levels tested were 50, 159, 501, 1582 and 5000 μg/plate. Similarly, in a confirmatory mutagenicity assay performed using the pre-incubation method, no positive mutagenic responses were observed with any of the test strains in either the presence or absence of S9 activation. Dose levels tested were 99, 265, 699, 1869 and 5000 μg/plate. </w:t>
      </w:r>
    </w:p>
    <w:p w14:paraId="612A165F" w14:textId="77777777" w:rsidR="00AF2384" w:rsidRDefault="00AF2384" w:rsidP="00AF2384"/>
    <w:p w14:paraId="26A9334C" w14:textId="77777777" w:rsidR="00AF2384" w:rsidRDefault="00AF2384" w:rsidP="00AF2384">
      <w:r>
        <w:lastRenderedPageBreak/>
        <w:t xml:space="preserve">Standard positive control articles were used as appropriate for the strains and presence or absence of S9 mix, and the expected increases in mutations were observed, confirming the validity of the assays. </w:t>
      </w:r>
    </w:p>
    <w:p w14:paraId="4421BCF5" w14:textId="77777777" w:rsidR="00AF2384" w:rsidRDefault="00AF2384" w:rsidP="00AF2384"/>
    <w:p w14:paraId="5D5ACE61" w14:textId="3E5B38DF" w:rsidR="00AF2384" w:rsidRDefault="00AF2384" w:rsidP="00AF2384">
      <w:r>
        <w:t xml:space="preserve">It was concluded that </w:t>
      </w:r>
      <w:r w:rsidR="00B91F18">
        <w:t>NRC</w:t>
      </w:r>
      <w:r>
        <w:t xml:space="preserve"> is not mutagenic in the bacterial reverse mutation assay. </w:t>
      </w:r>
    </w:p>
    <w:p w14:paraId="11499593" w14:textId="06E592DC" w:rsidR="00AF2384" w:rsidRDefault="00AF2384" w:rsidP="00AF2384"/>
    <w:p w14:paraId="4EFBD4AF" w14:textId="494475E5" w:rsidR="00AF2384" w:rsidRDefault="00AF2384" w:rsidP="00AF2384">
      <w:pPr>
        <w:rPr>
          <w:i/>
        </w:rPr>
      </w:pPr>
      <w:r w:rsidRPr="00A317F1">
        <w:rPr>
          <w:i/>
        </w:rPr>
        <w:t xml:space="preserve">Chromosomal aberration assay of </w:t>
      </w:r>
      <w:r w:rsidR="00B91F18">
        <w:rPr>
          <w:i/>
        </w:rPr>
        <w:t>NRC</w:t>
      </w:r>
      <w:r w:rsidRPr="00A317F1">
        <w:rPr>
          <w:i/>
        </w:rPr>
        <w:t xml:space="preserve"> using human peripheral blood lymphocytes. Unpublished study, Kamath </w:t>
      </w:r>
      <w:r>
        <w:rPr>
          <w:i/>
        </w:rPr>
        <w:t xml:space="preserve">(study director), </w:t>
      </w:r>
      <w:r w:rsidRPr="00A317F1">
        <w:rPr>
          <w:i/>
        </w:rPr>
        <w:t>2016</w:t>
      </w:r>
      <w:r w:rsidR="00E96D87">
        <w:rPr>
          <w:i/>
        </w:rPr>
        <w:t xml:space="preserve">; published as part of Conze et al, </w:t>
      </w:r>
      <w:r w:rsidR="008F6262">
        <w:rPr>
          <w:i/>
        </w:rPr>
        <w:t>2016</w:t>
      </w:r>
      <w:r w:rsidRPr="00A317F1">
        <w:rPr>
          <w:i/>
        </w:rPr>
        <w:t>.</w:t>
      </w:r>
      <w:r w:rsidR="008F6262">
        <w:rPr>
          <w:i/>
        </w:rPr>
        <w:t xml:space="preserve"> </w:t>
      </w:r>
      <w:r w:rsidRPr="00A317F1">
        <w:rPr>
          <w:i/>
        </w:rPr>
        <w:t>Regulatory status: GLP; compliant with OECD Guideline 473</w:t>
      </w:r>
    </w:p>
    <w:p w14:paraId="2E1B24D4" w14:textId="77777777" w:rsidR="00AF2384" w:rsidRDefault="00AF2384" w:rsidP="00AF2384">
      <w:pPr>
        <w:rPr>
          <w:i/>
        </w:rPr>
      </w:pPr>
    </w:p>
    <w:p w14:paraId="62609807" w14:textId="1A38E256" w:rsidR="00AF2384" w:rsidRDefault="00AF2384" w:rsidP="00AF2384">
      <w:r>
        <w:t xml:space="preserve">Human peripheral blood lymphocytes </w:t>
      </w:r>
      <w:r w:rsidR="00335B94">
        <w:t xml:space="preserve">(HPBLs) </w:t>
      </w:r>
      <w:r>
        <w:t xml:space="preserve">were obtained from a healthy non-smoking donor, approximately 35 years old. The vehicle and control article was water, in which </w:t>
      </w:r>
      <w:r w:rsidR="00B91F18">
        <w:t>NRC</w:t>
      </w:r>
      <w:r>
        <w:t xml:space="preserve"> was fully soluble at 500 mg/mL, the highest concentration used. </w:t>
      </w:r>
      <w:r w:rsidR="00B91F18">
        <w:t>NRC</w:t>
      </w:r>
      <w:r>
        <w:t xml:space="preserve"> was tested in the presence and absence of rat liver S9. </w:t>
      </w:r>
    </w:p>
    <w:p w14:paraId="2EB53B88" w14:textId="77777777" w:rsidR="00AF2384" w:rsidRDefault="00AF2384" w:rsidP="00AF2384"/>
    <w:p w14:paraId="79B994F6" w14:textId="6AF41525" w:rsidR="00AF2384" w:rsidRDefault="00AF2384" w:rsidP="00AF2384">
      <w:r w:rsidRPr="00D838C7">
        <w:t>During both the preliminary toxicity assay and mutagenicity study, the HPBLs were treated in the presence (3-6 hours) and absence of S9 activation (3-6 hours and 20-22 hours).</w:t>
      </w:r>
      <w:r>
        <w:t xml:space="preserve"> The concentration levels tested in the preliminary study were 0.15625, 0. 3125, 0. 625, 1.25, 2.5 and 5 mg/mL. Neither precipitate nor toxicity were observed at any concentrations tested. Therefore, in the mutagenicity assay </w:t>
      </w:r>
      <w:r w:rsidR="00B91F18">
        <w:t>NRC</w:t>
      </w:r>
      <w:r w:rsidRPr="00D838C7">
        <w:t xml:space="preserve"> was tested at 1.25, 2.5 and 5 mg/mL. No precipitate, toxicity or positive mutagenic responses were observed in either the presence or absence of S9.</w:t>
      </w:r>
      <w:r>
        <w:t xml:space="preserve"> Appropriate positive control articles induced the expected increases in chromosomal aberrations, confirming the validity of the assay. </w:t>
      </w:r>
    </w:p>
    <w:p w14:paraId="5F94A949" w14:textId="77777777" w:rsidR="00AF2384" w:rsidRDefault="00AF2384" w:rsidP="00AF2384"/>
    <w:p w14:paraId="652F428A" w14:textId="484FBF08" w:rsidR="00AF2384" w:rsidRDefault="00AF2384" w:rsidP="00AF2384">
      <w:r>
        <w:t xml:space="preserve">It was concluded that </w:t>
      </w:r>
      <w:r w:rsidR="00B91F18">
        <w:t>NRC</w:t>
      </w:r>
      <w:r>
        <w:t xml:space="preserve"> did not cause chromosomal aberrations under the conditions of the assay. </w:t>
      </w:r>
    </w:p>
    <w:p w14:paraId="61188CFC" w14:textId="77777777" w:rsidR="00AF2384" w:rsidRDefault="00AF2384" w:rsidP="00AF2384"/>
    <w:p w14:paraId="523D3C4E" w14:textId="4C21FF7D" w:rsidR="00AF2384" w:rsidRDefault="00AF2384" w:rsidP="00AF2384">
      <w:pPr>
        <w:rPr>
          <w:i/>
        </w:rPr>
      </w:pPr>
      <w:r w:rsidRPr="00BB3979">
        <w:t>In vivo</w:t>
      </w:r>
      <w:r w:rsidRPr="00BB3979">
        <w:rPr>
          <w:i/>
        </w:rPr>
        <w:t xml:space="preserve"> mammalian erythrocyte micronucleus test of </w:t>
      </w:r>
      <w:r w:rsidR="00B91F18">
        <w:rPr>
          <w:i/>
        </w:rPr>
        <w:t>NRC</w:t>
      </w:r>
      <w:r w:rsidRPr="00BB3979">
        <w:rPr>
          <w:i/>
        </w:rPr>
        <w:t xml:space="preserve"> in</w:t>
      </w:r>
      <w:r>
        <w:rPr>
          <w:i/>
        </w:rPr>
        <w:t xml:space="preserve"> Sprague Dawley rats. Unpublished stud</w:t>
      </w:r>
      <w:r w:rsidR="008750D6">
        <w:rPr>
          <w:i/>
        </w:rPr>
        <w:t>y</w:t>
      </w:r>
      <w:r w:rsidR="008F6262">
        <w:rPr>
          <w:i/>
        </w:rPr>
        <w:t xml:space="preserve"> report</w:t>
      </w:r>
      <w:r>
        <w:rPr>
          <w:i/>
        </w:rPr>
        <w:t>, Pandey (study director) 2016</w:t>
      </w:r>
      <w:r w:rsidR="008F6262">
        <w:rPr>
          <w:i/>
        </w:rPr>
        <w:t>; published as part of Conze et al 2016</w:t>
      </w:r>
      <w:r>
        <w:rPr>
          <w:i/>
        </w:rPr>
        <w:t>. Regulatory status: GLP, compliant with OECD Guideline 474</w:t>
      </w:r>
    </w:p>
    <w:p w14:paraId="123F5B46" w14:textId="77777777" w:rsidR="00AF2384" w:rsidRDefault="00AF2384" w:rsidP="00AF2384">
      <w:pPr>
        <w:rPr>
          <w:i/>
        </w:rPr>
      </w:pPr>
    </w:p>
    <w:p w14:paraId="3CEB0D25" w14:textId="15670807" w:rsidR="00AF2384" w:rsidRPr="00FD01AB" w:rsidRDefault="00AF2384" w:rsidP="00AF2384">
      <w:r w:rsidRPr="00FD01AB">
        <w:t xml:space="preserve">In the mutagenicity study, </w:t>
      </w:r>
      <w:r>
        <w:t>rats, approximately 6 weeks old at time of receipt,</w:t>
      </w:r>
      <w:r w:rsidRPr="00FD01AB">
        <w:t xml:space="preserve"> were acclimatized to </w:t>
      </w:r>
      <w:r>
        <w:t>standard laboratory environmental and husbandry conditions</w:t>
      </w:r>
      <w:r w:rsidRPr="00FD01AB">
        <w:t xml:space="preserve"> for 6 days before </w:t>
      </w:r>
      <w:r>
        <w:t xml:space="preserve">assignment to groups of 6/sex/group. In addition to a negative control group </w:t>
      </w:r>
      <w:r w:rsidR="003517B4">
        <w:t xml:space="preserve">(water) </w:t>
      </w:r>
      <w:r>
        <w:t xml:space="preserve">and a positive control (cyclophosphamide) group, groups included three groups dosed at </w:t>
      </w:r>
    </w:p>
    <w:p w14:paraId="206410DF" w14:textId="5E61CE1F" w:rsidR="00AF2384" w:rsidRDefault="00AF2384" w:rsidP="00AF2384">
      <w:r w:rsidRPr="00FD01AB">
        <w:t xml:space="preserve">levels of 500, 1000 and 2000 mg/kg </w:t>
      </w:r>
      <w:r>
        <w:t xml:space="preserve">bw and killed after 24 h, and one group dosed with 2000 mg/kg bw and killed after 48 h. </w:t>
      </w:r>
      <w:r w:rsidRPr="00FD01AB">
        <w:t xml:space="preserve">Bone marrow analyses </w:t>
      </w:r>
      <w:r>
        <w:t xml:space="preserve">of rats treated with </w:t>
      </w:r>
      <w:r w:rsidR="00B91F18">
        <w:t>NRC</w:t>
      </w:r>
      <w:r>
        <w:t xml:space="preserve"> s</w:t>
      </w:r>
      <w:r w:rsidRPr="00FD01AB">
        <w:t xml:space="preserve">howed no signs of significant increases in the number of micronuclei compared to </w:t>
      </w:r>
      <w:r>
        <w:t>the negative control group</w:t>
      </w:r>
      <w:r w:rsidRPr="00FD01AB">
        <w:t xml:space="preserve">. </w:t>
      </w:r>
      <w:r>
        <w:t xml:space="preserve">Bone marrow analysis of rats treated with cyclophosphamide showed the expected increase in number of micronuclei, confirming the validity of the assay. </w:t>
      </w:r>
    </w:p>
    <w:p w14:paraId="39E8069D" w14:textId="77777777" w:rsidR="00AF2384" w:rsidRDefault="00AF2384" w:rsidP="00AF2384"/>
    <w:p w14:paraId="15529971" w14:textId="00B26633" w:rsidR="00AF2384" w:rsidRDefault="00AF2384" w:rsidP="00AF2384">
      <w:r>
        <w:t xml:space="preserve">It was concluded that </w:t>
      </w:r>
      <w:r w:rsidR="00B91F18">
        <w:t>NRC</w:t>
      </w:r>
      <w:r>
        <w:t xml:space="preserve"> did not induce micronuclei under the conditions of the assay. </w:t>
      </w:r>
    </w:p>
    <w:p w14:paraId="4BF53390" w14:textId="73B50601" w:rsidR="007D2E2E" w:rsidRDefault="007D2E2E" w:rsidP="00BA6BAC">
      <w:pPr>
        <w:pStyle w:val="Heading3"/>
        <w:numPr>
          <w:ilvl w:val="2"/>
          <w:numId w:val="36"/>
        </w:numPr>
        <w:ind w:left="851" w:hanging="851"/>
      </w:pPr>
      <w:bookmarkStart w:id="355" w:name="_Toc65509075"/>
      <w:bookmarkStart w:id="356" w:name="_Toc65578812"/>
      <w:bookmarkStart w:id="357" w:name="_Toc65587206"/>
      <w:bookmarkStart w:id="358" w:name="_Toc65587176"/>
      <w:bookmarkStart w:id="359" w:name="_Toc65682785"/>
      <w:bookmarkStart w:id="360" w:name="_Toc65764326"/>
      <w:bookmarkStart w:id="361" w:name="_Toc65764659"/>
      <w:bookmarkStart w:id="362" w:name="_Toc65841228"/>
      <w:bookmarkStart w:id="363" w:name="_Toc66443243"/>
      <w:bookmarkStart w:id="364" w:name="_Toc66436799"/>
      <w:bookmarkStart w:id="365" w:name="_Toc66458151"/>
      <w:bookmarkStart w:id="366" w:name="_Toc66451425"/>
      <w:bookmarkStart w:id="367" w:name="_Toc66458818"/>
      <w:bookmarkStart w:id="368" w:name="_Toc66458951"/>
      <w:bookmarkStart w:id="369" w:name="_Toc66461646"/>
      <w:bookmarkStart w:id="370" w:name="_Toc69899754"/>
      <w:r w:rsidRPr="007D2E2E">
        <w:t>Developmental and reproductive studies in animals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37F2C519" w14:textId="5F63B927" w:rsidR="00AF2384" w:rsidRDefault="00AF2384" w:rsidP="00AF2384">
      <w:pPr>
        <w:rPr>
          <w:i/>
        </w:rPr>
      </w:pPr>
      <w:r w:rsidRPr="00D164B7">
        <w:rPr>
          <w:i/>
        </w:rPr>
        <w:t xml:space="preserve">Developmental toxicity study of </w:t>
      </w:r>
      <w:r w:rsidR="00B91F18">
        <w:rPr>
          <w:i/>
        </w:rPr>
        <w:t>NRC</w:t>
      </w:r>
      <w:r w:rsidRPr="00D164B7">
        <w:rPr>
          <w:i/>
        </w:rPr>
        <w:t xml:space="preserve"> in Sprague Dawley rats. Unpublished study, Rao</w:t>
      </w:r>
      <w:r>
        <w:rPr>
          <w:i/>
        </w:rPr>
        <w:t xml:space="preserve"> (study director),</w:t>
      </w:r>
      <w:r w:rsidRPr="00D164B7">
        <w:rPr>
          <w:i/>
        </w:rPr>
        <w:t xml:space="preserve"> 2016. Regulatory status: GLP; compliant with OECD guideline</w:t>
      </w:r>
      <w:r w:rsidR="00F234EB">
        <w:rPr>
          <w:i/>
        </w:rPr>
        <w:t xml:space="preserve"> 414</w:t>
      </w:r>
      <w:r w:rsidRPr="00D164B7">
        <w:rPr>
          <w:i/>
        </w:rPr>
        <w:t xml:space="preserve">. </w:t>
      </w:r>
    </w:p>
    <w:p w14:paraId="77802C04" w14:textId="77777777" w:rsidR="00AF2384" w:rsidRDefault="00AF2384" w:rsidP="00AF2384">
      <w:pPr>
        <w:rPr>
          <w:i/>
        </w:rPr>
      </w:pPr>
    </w:p>
    <w:p w14:paraId="3B304842" w14:textId="03571428" w:rsidR="00AF2384" w:rsidRPr="00101B1E" w:rsidRDefault="009A4925" w:rsidP="00AF2384">
      <w:pPr>
        <w:rPr>
          <w:highlight w:val="yellow"/>
        </w:rPr>
      </w:pPr>
      <w:r w:rsidRPr="008A017A">
        <w:rPr>
          <w:color w:val="000000" w:themeColor="text1"/>
        </w:rPr>
        <w:t xml:space="preserve">Groups of </w:t>
      </w:r>
      <w:r w:rsidR="004C4B87" w:rsidRPr="008A017A">
        <w:rPr>
          <w:color w:val="000000" w:themeColor="text1"/>
        </w:rPr>
        <w:t xml:space="preserve">pregnant </w:t>
      </w:r>
      <w:r w:rsidRPr="008A017A">
        <w:rPr>
          <w:color w:val="000000" w:themeColor="text1"/>
        </w:rPr>
        <w:t xml:space="preserve">rats </w:t>
      </w:r>
      <w:r w:rsidR="004C4B87" w:rsidRPr="008A017A">
        <w:rPr>
          <w:color w:val="000000" w:themeColor="text1"/>
        </w:rPr>
        <w:t xml:space="preserve">(24/group) </w:t>
      </w:r>
      <w:r w:rsidRPr="008A017A">
        <w:rPr>
          <w:color w:val="000000" w:themeColor="text1"/>
        </w:rPr>
        <w:t xml:space="preserve">were </w:t>
      </w:r>
      <w:r w:rsidR="004C4B87" w:rsidRPr="008A017A">
        <w:rPr>
          <w:color w:val="000000" w:themeColor="text1"/>
        </w:rPr>
        <w:t xml:space="preserve">gavaged daily with </w:t>
      </w:r>
      <w:r w:rsidRPr="008A017A">
        <w:rPr>
          <w:color w:val="000000" w:themeColor="text1"/>
        </w:rPr>
        <w:t xml:space="preserve"> doses of </w:t>
      </w:r>
      <w:r w:rsidR="00AF2384" w:rsidRPr="008A017A">
        <w:rPr>
          <w:color w:val="000000" w:themeColor="text1"/>
        </w:rPr>
        <w:t xml:space="preserve">325, 750 </w:t>
      </w:r>
      <w:r w:rsidR="008A017A" w:rsidRPr="008A017A">
        <w:rPr>
          <w:color w:val="000000" w:themeColor="text1"/>
        </w:rPr>
        <w:t xml:space="preserve">or </w:t>
      </w:r>
      <w:r w:rsidR="00AF2384" w:rsidRPr="008A017A">
        <w:rPr>
          <w:color w:val="000000" w:themeColor="text1"/>
        </w:rPr>
        <w:t xml:space="preserve">1500 </w:t>
      </w:r>
      <w:r w:rsidR="00AF2384" w:rsidRPr="008A017A">
        <w:t>mg/kg bw/day</w:t>
      </w:r>
      <w:r w:rsidR="008A017A" w:rsidRPr="008A017A">
        <w:t xml:space="preserve"> from Gestation Days 5 to 19</w:t>
      </w:r>
      <w:r w:rsidR="00AF2384" w:rsidRPr="008A017A">
        <w:t xml:space="preserve">. </w:t>
      </w:r>
      <w:r w:rsidR="008A017A">
        <w:t>Toxicological endpoints in dams i</w:t>
      </w:r>
      <w:r w:rsidR="008A017A" w:rsidRPr="008A017A">
        <w:t>ncluded  clinical  signs,  mortality,  morbidity, body  weight</w:t>
      </w:r>
      <w:r w:rsidR="008A017A">
        <w:t xml:space="preserve">, </w:t>
      </w:r>
      <w:r w:rsidR="008A017A" w:rsidRPr="008A017A">
        <w:t>food</w:t>
      </w:r>
      <w:r w:rsidR="008A017A">
        <w:t xml:space="preserve"> </w:t>
      </w:r>
      <w:r w:rsidR="008A017A" w:rsidRPr="008A017A">
        <w:t>consumption</w:t>
      </w:r>
      <w:r w:rsidR="008A017A">
        <w:t xml:space="preserve"> and gorss pathological findings on necropsy after </w:t>
      </w:r>
      <w:r w:rsidR="008A017A" w:rsidRPr="008A017A">
        <w:t>caesarean section. Fetuses</w:t>
      </w:r>
      <w:r w:rsidR="008A017A">
        <w:t xml:space="preserve"> </w:t>
      </w:r>
      <w:r w:rsidR="008A017A" w:rsidRPr="008A017A">
        <w:t>were examined for sex, weight and external, visceral and skeletal malformations</w:t>
      </w:r>
      <w:r w:rsidR="008A017A">
        <w:t xml:space="preserve">. </w:t>
      </w:r>
    </w:p>
    <w:p w14:paraId="4650F2A1" w14:textId="77777777" w:rsidR="00AF2384" w:rsidRPr="008A017A" w:rsidRDefault="00AF2384" w:rsidP="00AF2384">
      <w:pPr>
        <w:rPr>
          <w:color w:val="0070C0"/>
        </w:rPr>
      </w:pPr>
    </w:p>
    <w:p w14:paraId="5489935B" w14:textId="2DC89833" w:rsidR="00AF2384" w:rsidRPr="00217994" w:rsidRDefault="00AF2384" w:rsidP="00AF2384">
      <w:pPr>
        <w:rPr>
          <w:color w:val="0070C0"/>
        </w:rPr>
      </w:pPr>
      <w:r w:rsidRPr="008A017A">
        <w:rPr>
          <w:color w:val="000000" w:themeColor="text1"/>
        </w:rPr>
        <w:t xml:space="preserve">The maternal NOAEL was identified as 325 mg/kg bw/day on the basis of significant decreases in bodyweight and food consumption at doses </w:t>
      </w:r>
      <w:r w:rsidRPr="008A017A">
        <w:rPr>
          <w:rFonts w:cs="Arial"/>
          <w:color w:val="000000" w:themeColor="text1"/>
        </w:rPr>
        <w:t>≥</w:t>
      </w:r>
      <w:r w:rsidRPr="008A017A">
        <w:rPr>
          <w:color w:val="000000" w:themeColor="text1"/>
        </w:rPr>
        <w:t xml:space="preserve">750 mg/kg bw/day. The fetal NOAEL was identified as 750 mg/kg/day on the basis of decreased fetal bodyweights at 1500 mg/kg bw/day, together with increases in incidence of </w:t>
      </w:r>
      <w:r w:rsidR="008A017A" w:rsidRPr="008A017A">
        <w:rPr>
          <w:color w:val="000000" w:themeColor="text1"/>
        </w:rPr>
        <w:t xml:space="preserve">abnormalities commonly </w:t>
      </w:r>
      <w:r w:rsidR="008A017A">
        <w:rPr>
          <w:color w:val="000000" w:themeColor="text1"/>
        </w:rPr>
        <w:t xml:space="preserve">observed in </w:t>
      </w:r>
      <w:r w:rsidR="008A017A" w:rsidRPr="008A017A">
        <w:rPr>
          <w:color w:val="000000" w:themeColor="text1"/>
        </w:rPr>
        <w:t>associat</w:t>
      </w:r>
      <w:r w:rsidR="008A017A">
        <w:rPr>
          <w:color w:val="000000" w:themeColor="text1"/>
        </w:rPr>
        <w:t>ion</w:t>
      </w:r>
      <w:r w:rsidR="008A017A" w:rsidRPr="008A017A">
        <w:rPr>
          <w:color w:val="000000" w:themeColor="text1"/>
        </w:rPr>
        <w:t xml:space="preserve"> with maternal toxicity.</w:t>
      </w:r>
      <w:r w:rsidRPr="008A017A">
        <w:rPr>
          <w:color w:val="0070C0"/>
        </w:rPr>
        <w:t xml:space="preserve"> </w:t>
      </w:r>
    </w:p>
    <w:p w14:paraId="3CE6E180" w14:textId="77777777" w:rsidR="00AF2384" w:rsidRPr="001A7AD7" w:rsidRDefault="00AF2384" w:rsidP="00AF2384"/>
    <w:p w14:paraId="5B2B0DF5" w14:textId="77777777" w:rsidR="00AF2384" w:rsidRPr="00681F9B" w:rsidRDefault="00AF2384" w:rsidP="00AF2384">
      <w:pPr>
        <w:rPr>
          <w:i/>
        </w:rPr>
      </w:pPr>
      <w:r w:rsidRPr="00681F9B">
        <w:rPr>
          <w:i/>
        </w:rPr>
        <w:t>One-generation reproductive dietary toxicity in Sprague Dawley rats. Unpublished study, Ganiger (study director) 2016. Regulatory status: GLP; Compliant with OECD guideline 415.</w:t>
      </w:r>
    </w:p>
    <w:p w14:paraId="1DC3589C" w14:textId="77777777" w:rsidR="00AF2384" w:rsidRPr="00217994" w:rsidRDefault="00AF2384" w:rsidP="00AF2384">
      <w:pPr>
        <w:rPr>
          <w:i/>
          <w:color w:val="0070C0"/>
        </w:rPr>
      </w:pPr>
    </w:p>
    <w:p w14:paraId="383F8FC6" w14:textId="0A22FB23" w:rsidR="00AF2384" w:rsidRPr="00101B1E" w:rsidRDefault="00AF2384" w:rsidP="00AF2384">
      <w:pPr>
        <w:rPr>
          <w:color w:val="0070C0"/>
          <w:highlight w:val="yellow"/>
        </w:rPr>
      </w:pPr>
      <w:r w:rsidRPr="006032EA">
        <w:t xml:space="preserve">Rats were assigned, 25/sex/group, to four groups and provided with diets containing 0, 3000, 6000 or 12000 ppm </w:t>
      </w:r>
      <w:r w:rsidR="00B91F18" w:rsidRPr="006032EA">
        <w:t>NRC</w:t>
      </w:r>
      <w:r w:rsidRPr="006032EA">
        <w:t xml:space="preserve"> in the diet, which was supplied </w:t>
      </w:r>
      <w:r w:rsidRPr="006032EA">
        <w:rPr>
          <w:i/>
        </w:rPr>
        <w:t>ad libitum.</w:t>
      </w:r>
      <w:r w:rsidRPr="006032EA">
        <w:t xml:space="preserve"> </w:t>
      </w:r>
      <w:r w:rsidR="00CD0EAC" w:rsidRPr="006032EA">
        <w:t>C</w:t>
      </w:r>
      <w:r w:rsidRPr="006032EA">
        <w:t>linical examinations were performed</w:t>
      </w:r>
      <w:r w:rsidR="00CD0EAC" w:rsidRPr="006032EA">
        <w:t xml:space="preserve"> and</w:t>
      </w:r>
      <w:r w:rsidRPr="006032EA">
        <w:rPr>
          <w:color w:val="0070C0"/>
        </w:rPr>
        <w:t xml:space="preserve"> </w:t>
      </w:r>
      <w:r w:rsidRPr="006032EA">
        <w:t xml:space="preserve">body weights </w:t>
      </w:r>
      <w:r w:rsidR="00CD0EAC" w:rsidRPr="006032EA">
        <w:t>and f</w:t>
      </w:r>
      <w:r w:rsidRPr="006032EA">
        <w:t xml:space="preserve">ood consumption of P </w:t>
      </w:r>
      <w:r w:rsidR="00CD0EAC" w:rsidRPr="006032EA">
        <w:t>generation females was measured.</w:t>
      </w:r>
    </w:p>
    <w:p w14:paraId="797B62A9" w14:textId="77777777" w:rsidR="00AF2384" w:rsidRPr="00101B1E" w:rsidRDefault="00AF2384" w:rsidP="00AF2384">
      <w:pPr>
        <w:rPr>
          <w:color w:val="0070C0"/>
          <w:highlight w:val="yellow"/>
        </w:rPr>
      </w:pPr>
    </w:p>
    <w:p w14:paraId="0D84F565" w14:textId="6947881E" w:rsidR="00AF2384" w:rsidRPr="006032EA" w:rsidRDefault="00AF2384" w:rsidP="00AF2384">
      <w:pPr>
        <w:rPr>
          <w:color w:val="0070C0"/>
        </w:rPr>
      </w:pPr>
      <w:r w:rsidRPr="006032EA">
        <w:t>At birth, all pups, both dead and alive, were examined, sexed and weighed</w:t>
      </w:r>
      <w:r w:rsidR="00CD0EAC" w:rsidRPr="006032EA">
        <w:t>, and</w:t>
      </w:r>
      <w:r w:rsidRPr="006032EA">
        <w:rPr>
          <w:color w:val="0070C0"/>
        </w:rPr>
        <w:t xml:space="preserve"> </w:t>
      </w:r>
      <w:r w:rsidR="00CD0EAC" w:rsidRPr="006032EA">
        <w:rPr>
          <w:color w:val="000000" w:themeColor="text1"/>
        </w:rPr>
        <w:t>t</w:t>
      </w:r>
      <w:r w:rsidRPr="006032EA">
        <w:t>he P generation rats were subject to detailed necropsies</w:t>
      </w:r>
      <w:r w:rsidR="00CD0EAC" w:rsidRPr="006032EA">
        <w:t>.</w:t>
      </w:r>
      <w:r w:rsidRPr="006032EA">
        <w:rPr>
          <w:color w:val="0070C0"/>
        </w:rPr>
        <w:t xml:space="preserve"> </w:t>
      </w:r>
      <w:r w:rsidRPr="006032EA">
        <w:t xml:space="preserve">Histopathological examination was carried out on </w:t>
      </w:r>
      <w:r w:rsidR="006032EA" w:rsidRPr="006032EA">
        <w:t>reproductive organs</w:t>
      </w:r>
      <w:r w:rsidRPr="006032EA">
        <w:t xml:space="preserve"> of P generation rats. </w:t>
      </w:r>
    </w:p>
    <w:p w14:paraId="40C6CAE1" w14:textId="77777777" w:rsidR="00AF2384" w:rsidRPr="00101B1E" w:rsidRDefault="00AF2384" w:rsidP="00AF2384">
      <w:pPr>
        <w:rPr>
          <w:color w:val="0070C0"/>
          <w:highlight w:val="yellow"/>
        </w:rPr>
      </w:pPr>
    </w:p>
    <w:p w14:paraId="2561F381" w14:textId="4E74085A" w:rsidR="00AF2384" w:rsidRPr="00101B1E" w:rsidRDefault="00AF2384" w:rsidP="00AF2384">
      <w:pPr>
        <w:rPr>
          <w:highlight w:val="yellow"/>
        </w:rPr>
      </w:pPr>
      <w:r w:rsidRPr="006032EA">
        <w:t>All rats survived to the end of the in-life phase and no treatment-related clinical signs were observed. There were no treatment related effects on body weights or food consumption of P generation females, or on gestation length, pre-coital time, fertility index, survival indices of pups, appearance of pups on PND 1, gross findings on necropsy of P generation rats or pups, or histopathological findings of P generation rats</w:t>
      </w:r>
      <w:r w:rsidR="00681F9B" w:rsidRPr="006032EA">
        <w:t>.</w:t>
      </w:r>
    </w:p>
    <w:p w14:paraId="39C76691" w14:textId="77777777" w:rsidR="00AF2384" w:rsidRPr="00101B1E" w:rsidRDefault="00AF2384" w:rsidP="00AF2384">
      <w:pPr>
        <w:rPr>
          <w:color w:val="0070C0"/>
          <w:highlight w:val="yellow"/>
        </w:rPr>
      </w:pPr>
    </w:p>
    <w:p w14:paraId="31B6A630" w14:textId="738E8698" w:rsidR="00AF2384" w:rsidRPr="00101B1E" w:rsidRDefault="00AF2384" w:rsidP="00AF2384">
      <w:pPr>
        <w:rPr>
          <w:highlight w:val="yellow"/>
        </w:rPr>
      </w:pPr>
      <w:r w:rsidRPr="006032EA">
        <w:t xml:space="preserve">A statistically significant decrease in group mean bodyweight, as compared to that of male controls, was observed </w:t>
      </w:r>
      <w:r w:rsidR="006032EA">
        <w:t>during part of the study</w:t>
      </w:r>
      <w:r w:rsidRPr="006032EA">
        <w:t xml:space="preserve"> in P generation males in the 12000 ppm group.</w:t>
      </w:r>
      <w:r w:rsidRPr="006032EA">
        <w:rPr>
          <w:color w:val="0070C0"/>
        </w:rPr>
        <w:t xml:space="preserve"> </w:t>
      </w:r>
      <w:r w:rsidRPr="006032EA">
        <w:t>The lower group mean bodyweig</w:t>
      </w:r>
      <w:r w:rsidR="007F4C6A" w:rsidRPr="006032EA">
        <w:t xml:space="preserve">hts were considered non-adverse. </w:t>
      </w:r>
    </w:p>
    <w:p w14:paraId="47124D4A" w14:textId="77777777" w:rsidR="00AF2384" w:rsidRPr="00101B1E" w:rsidRDefault="00AF2384" w:rsidP="00AF2384">
      <w:pPr>
        <w:rPr>
          <w:color w:val="0070C0"/>
          <w:highlight w:val="yellow"/>
        </w:rPr>
      </w:pPr>
    </w:p>
    <w:p w14:paraId="27F0E44B" w14:textId="77777777" w:rsidR="00124B9A" w:rsidRDefault="00AF2384" w:rsidP="00AF2384">
      <w:r w:rsidRPr="006032EA">
        <w:t xml:space="preserve">It was concluded that the NOAEL for fertility and reproductive performance was 12000 ppm in the parental diet. Based on food consumption and bodyweight data, this was equivalent to 675.2 mg/kg bw/day in P generation males and 1088.4 mg/kg bw/day in P generation females. </w:t>
      </w:r>
      <w:r w:rsidR="00816D08" w:rsidRPr="006032EA">
        <w:t>The NOAEL for prenatal and postnatal survival and development of pups was the same as the maternal NOAEL.</w:t>
      </w:r>
      <w:r w:rsidR="00124B9A" w:rsidRPr="00124B9A">
        <w:t xml:space="preserve"> </w:t>
      </w:r>
    </w:p>
    <w:p w14:paraId="52E33F7B" w14:textId="470F9391" w:rsidR="007D2E2E" w:rsidRDefault="00AF2384" w:rsidP="00BA6BAC">
      <w:pPr>
        <w:pStyle w:val="Heading3"/>
        <w:numPr>
          <w:ilvl w:val="2"/>
          <w:numId w:val="36"/>
        </w:numPr>
        <w:ind w:left="851" w:hanging="851"/>
      </w:pPr>
      <w:bookmarkStart w:id="371" w:name="_Toc65509076"/>
      <w:bookmarkStart w:id="372" w:name="_Toc65578813"/>
      <w:bookmarkStart w:id="373" w:name="_Toc65587207"/>
      <w:bookmarkStart w:id="374" w:name="_Toc65587177"/>
      <w:bookmarkStart w:id="375" w:name="_Toc65682786"/>
      <w:bookmarkStart w:id="376" w:name="_Toc65764327"/>
      <w:bookmarkStart w:id="377" w:name="_Toc65764660"/>
      <w:bookmarkStart w:id="378" w:name="_Toc65841229"/>
      <w:bookmarkStart w:id="379" w:name="_Toc66443244"/>
      <w:bookmarkStart w:id="380" w:name="_Toc66436800"/>
      <w:bookmarkStart w:id="381" w:name="_Toc66458152"/>
      <w:bookmarkStart w:id="382" w:name="_Toc66451426"/>
      <w:bookmarkStart w:id="383" w:name="_Toc66458819"/>
      <w:bookmarkStart w:id="384" w:name="_Toc66458952"/>
      <w:bookmarkStart w:id="385" w:name="_Toc66461647"/>
      <w:bookmarkStart w:id="386" w:name="_Toc69899755"/>
      <w:r>
        <w:t>H</w:t>
      </w:r>
      <w:r w:rsidR="007D2E2E" w:rsidRPr="007D2E2E">
        <w:t>uman tolerance studies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21B4D239" w14:textId="56D386DE" w:rsidR="00AF2384" w:rsidRPr="00FC190B" w:rsidRDefault="00AF2384" w:rsidP="00AF2384">
      <w:r w:rsidRPr="006D1435">
        <w:t xml:space="preserve">A </w:t>
      </w:r>
      <w:r>
        <w:t>r</w:t>
      </w:r>
      <w:r w:rsidRPr="006D1435">
        <w:t xml:space="preserve">andomised double-blind crossover study of pharmacokinetics of single doses of </w:t>
      </w:r>
      <w:r w:rsidR="00B91F18">
        <w:t>NRC</w:t>
      </w:r>
      <w:r w:rsidRPr="006D1435">
        <w:t xml:space="preserve"> in </w:t>
      </w:r>
      <w:r w:rsidRPr="00FC190B">
        <w:t xml:space="preserve">healthy human subjects, conducted under GCP conditions, is summarised in Section </w:t>
      </w:r>
      <w:r w:rsidR="000B792C">
        <w:t>2</w:t>
      </w:r>
      <w:r w:rsidR="00A1146A" w:rsidRPr="00FC190B">
        <w:t>.3.1</w:t>
      </w:r>
      <w:r w:rsidRPr="00FC190B">
        <w:t xml:space="preserve"> (unpublished study</w:t>
      </w:r>
      <w:r w:rsidR="00FC190B">
        <w:t xml:space="preserve"> </w:t>
      </w:r>
      <w:r w:rsidR="00FC190B" w:rsidRPr="00FC190B">
        <w:t xml:space="preserve">report of </w:t>
      </w:r>
      <w:r w:rsidRPr="00FC190B">
        <w:t>Wilson 2015</w:t>
      </w:r>
      <w:r w:rsidR="00FC190B" w:rsidRPr="00FC190B">
        <w:t>; published as Trammell et al 2016</w:t>
      </w:r>
      <w:r w:rsidRPr="00FC190B">
        <w:t xml:space="preserve">). There were 12 (6/sex) participants in the study. Doses of </w:t>
      </w:r>
      <w:r w:rsidR="00B91F18" w:rsidRPr="00FC190B">
        <w:t>NRC</w:t>
      </w:r>
      <w:r w:rsidRPr="00FC190B">
        <w:t xml:space="preserve"> were 100, 300 and 1000 mg </w:t>
      </w:r>
      <w:r w:rsidR="00B91F18" w:rsidRPr="00FC190B">
        <w:t>NRC</w:t>
      </w:r>
      <w:r w:rsidRPr="00FC190B">
        <w:t xml:space="preserve">. Doses were taken in capsule form.  Doses of </w:t>
      </w:r>
      <w:r w:rsidRPr="00FC190B">
        <w:rPr>
          <w:rFonts w:cs="Arial"/>
        </w:rPr>
        <w:t>≤</w:t>
      </w:r>
      <w:r w:rsidRPr="00FC190B">
        <w:t xml:space="preserve">1000 mg </w:t>
      </w:r>
      <w:r w:rsidR="00B91F18" w:rsidRPr="00FC190B">
        <w:t>NRC</w:t>
      </w:r>
      <w:r w:rsidRPr="00FC190B">
        <w:t xml:space="preserve"> had no effects on heart rate, systolic blood pressure, diastolic blood pressure, liver function tests (AST, ALT, GGT and total bilirubin), kidney function tests </w:t>
      </w:r>
      <w:r w:rsidRPr="00FC190B">
        <w:lastRenderedPageBreak/>
        <w:t xml:space="preserve">(creatinine and estimated glomerular </w:t>
      </w:r>
      <w:r w:rsidR="00FC190B" w:rsidRPr="00FC190B">
        <w:t>filtration</w:t>
      </w:r>
      <w:r w:rsidRPr="00FC190B">
        <w:t xml:space="preserve"> rate) and serum electrolytes. Most haematology parameters showed no significant differences between groups. A significant difference between group mean neutrophil count after the 300 mg dose and the 1000 mg dose was attributed to a single individual in the 1000 mg group having a low neutrophil count, and was therefore regarded as unrelated to </w:t>
      </w:r>
      <w:r w:rsidR="00B91F18" w:rsidRPr="00FC190B">
        <w:t>NRC</w:t>
      </w:r>
      <w:r w:rsidRPr="00FC190B">
        <w:t>.</w:t>
      </w:r>
    </w:p>
    <w:p w14:paraId="30F18C4E" w14:textId="77777777" w:rsidR="00AF2384" w:rsidRPr="00FC190B" w:rsidRDefault="00AF2384" w:rsidP="00AF2384"/>
    <w:p w14:paraId="256BD7AC" w14:textId="3DFE8B13" w:rsidR="00AF2384" w:rsidRPr="00FC190B" w:rsidRDefault="00AF2384" w:rsidP="00AF2384">
      <w:r w:rsidRPr="00FC190B">
        <w:t xml:space="preserve">A total of five Adverse Events (AEs) were reported by five participants  associated with the 100 mg dose of </w:t>
      </w:r>
      <w:r w:rsidR="00B91F18" w:rsidRPr="00FC190B">
        <w:t>NRC</w:t>
      </w:r>
      <w:r w:rsidRPr="00FC190B">
        <w:t xml:space="preserve">. AEs considered to be unlikely to be related to </w:t>
      </w:r>
      <w:r w:rsidR="00B91F18" w:rsidRPr="00FC190B">
        <w:t>NRC</w:t>
      </w:r>
      <w:r w:rsidRPr="00FC190B">
        <w:t xml:space="preserve"> were feeling of warmth, tiredness, pruritis and headache. An AE considered to be possibly related to </w:t>
      </w:r>
      <w:r w:rsidR="00B91F18" w:rsidRPr="00FC190B">
        <w:t>NRC</w:t>
      </w:r>
      <w:r w:rsidRPr="00FC190B">
        <w:t xml:space="preserve"> was a decrease in haemoglobin in one participant. Seven participants reported 9 AEs in association with the 300 mg dose of </w:t>
      </w:r>
      <w:r w:rsidR="00B91F18" w:rsidRPr="00FC190B">
        <w:t>NRC</w:t>
      </w:r>
      <w:r w:rsidRPr="00FC190B">
        <w:t xml:space="preserve">. AEs considered unlikely to be related to </w:t>
      </w:r>
      <w:r w:rsidR="00B91F18" w:rsidRPr="00FC190B">
        <w:t>NRC</w:t>
      </w:r>
      <w:r w:rsidRPr="00FC190B">
        <w:t xml:space="preserve"> included headaches (four reports), soft or loose stool (two reports), and one report of flushing and feeling warm. One AE of decreased total white blood cell count was considered possibly related to </w:t>
      </w:r>
      <w:r w:rsidR="00B91F18" w:rsidRPr="00FC190B">
        <w:t>NRC</w:t>
      </w:r>
      <w:r w:rsidRPr="00FC190B">
        <w:t xml:space="preserve">. Four AEs were reported following the 1000 mg </w:t>
      </w:r>
      <w:r w:rsidR="00B91F18" w:rsidRPr="00FC190B">
        <w:t>NRC</w:t>
      </w:r>
      <w:r w:rsidRPr="00FC190B">
        <w:t xml:space="preserve">. Two AEs of feeling hot, one headache and one finding of low haemoglobin were classified as unlikely to be related to </w:t>
      </w:r>
      <w:r w:rsidR="00B91F18" w:rsidRPr="00FC190B">
        <w:t>NRC</w:t>
      </w:r>
      <w:r w:rsidRPr="00FC190B">
        <w:t>. All AEs were resolved without the need of any intervention. There was no association between AE severity or category with dose. There were no serious AEs reported during the study.</w:t>
      </w:r>
    </w:p>
    <w:p w14:paraId="353DAB5D" w14:textId="77777777" w:rsidR="00AF2384" w:rsidRDefault="00AF2384" w:rsidP="00AF2384"/>
    <w:p w14:paraId="57EFCD54" w14:textId="619A0311" w:rsidR="00AF2384" w:rsidRDefault="00AF2384" w:rsidP="00AF2384">
      <w:r>
        <w:t xml:space="preserve">The short-term repeat-dose study of </w:t>
      </w:r>
      <w:r w:rsidRPr="007F292F">
        <w:t>Airhart et al (2017)</w:t>
      </w:r>
      <w:r>
        <w:t xml:space="preserve"> has been described in Section </w:t>
      </w:r>
      <w:r w:rsidR="000B792C">
        <w:t>2</w:t>
      </w:r>
      <w:r w:rsidR="00A1146A">
        <w:t>.3.1</w:t>
      </w:r>
      <w:r>
        <w:t xml:space="preserve">. Eight volunteers took oral doses of </w:t>
      </w:r>
      <w:r w:rsidR="00B91F18">
        <w:t>NRC</w:t>
      </w:r>
      <w:r>
        <w:t>, at dose levels ra</w:t>
      </w:r>
      <w:r w:rsidR="00BF5525">
        <w:t>nging from 250 mg once daily to</w:t>
      </w:r>
      <w:r>
        <w:t xml:space="preserve"> 1000 mg twice daily, for nine days. No AEs or side effects were reported by the participants. No clinically significant changes were seen in serum levels of the five pre-selected safety endpoints, which were potassium, creatine kinase, glucose, uric acid and ALT. A slight decrease in group mean serum potassium was statistically significant but all values remained within normal range. Other changes which were statistically significant but clinically within normal range were decreases in haematocrit, haemoglobin, and platelet count. White blood cell differentials were unaffected. </w:t>
      </w:r>
      <w:r w:rsidR="00B91F18">
        <w:t>NRC</w:t>
      </w:r>
      <w:r>
        <w:t xml:space="preserve"> supplementation had no effect on blood pressure, body temperature, body weight, white blood cell count, or serum levels of lactate dehydrogenase (LDH), AST, sodium, chloride, blood urea nitrogen (BUN), or crea</w:t>
      </w:r>
      <w:r w:rsidR="00191195">
        <w:t xml:space="preserve">tinine.  </w:t>
      </w:r>
    </w:p>
    <w:p w14:paraId="73CBF7BF" w14:textId="77777777" w:rsidR="00C57E2A" w:rsidRDefault="00C57E2A" w:rsidP="00AF2384"/>
    <w:p w14:paraId="25A50109" w14:textId="7E7B136C" w:rsidR="00AF2384" w:rsidRPr="00B10EFE" w:rsidRDefault="00AF2384" w:rsidP="00AF2384">
      <w:pPr>
        <w:rPr>
          <w:i/>
        </w:rPr>
      </w:pPr>
      <w:r w:rsidRPr="00B10EFE">
        <w:rPr>
          <w:i/>
        </w:rPr>
        <w:t xml:space="preserve">21-day </w:t>
      </w:r>
      <w:r w:rsidR="00B91F18">
        <w:rPr>
          <w:i/>
        </w:rPr>
        <w:t>NRC</w:t>
      </w:r>
      <w:r w:rsidRPr="00B10EFE">
        <w:rPr>
          <w:i/>
        </w:rPr>
        <w:t xml:space="preserve"> supplementation study, with randomised double-blind crossover design, in aged men (</w:t>
      </w:r>
      <w:r w:rsidRPr="007F292F">
        <w:rPr>
          <w:i/>
        </w:rPr>
        <w:t>Elhassan et al 2019</w:t>
      </w:r>
      <w:r w:rsidRPr="00B10EFE">
        <w:rPr>
          <w:i/>
        </w:rPr>
        <w:t xml:space="preserve">). Regulatory status: Not GLP or GCP. </w:t>
      </w:r>
    </w:p>
    <w:p w14:paraId="462570DD" w14:textId="77777777" w:rsidR="00AF2384" w:rsidRDefault="00AF2384" w:rsidP="00AF2384"/>
    <w:p w14:paraId="2567A9C6" w14:textId="7290649F" w:rsidR="00AF2384" w:rsidRDefault="00AF2384" w:rsidP="00AF2384">
      <w:r>
        <w:t xml:space="preserve">This was an efficacy study rather than a tolerance study, but includes some information on human tolerance of </w:t>
      </w:r>
      <w:r w:rsidR="00B91F18">
        <w:t>NRC</w:t>
      </w:r>
      <w:r>
        <w:t>. Subjects were 12 healthy men, with a mean age of 75 years (range 72-78) and a mean BMI of 26.6 kg/m</w:t>
      </w:r>
      <w:r>
        <w:rPr>
          <w:vertAlign w:val="superscript"/>
        </w:rPr>
        <w:t xml:space="preserve">2 </w:t>
      </w:r>
      <w:r>
        <w:t xml:space="preserve">(range 21-30). Participants were assigned to either </w:t>
      </w:r>
      <w:r w:rsidR="00B91F18">
        <w:t>NRC</w:t>
      </w:r>
      <w:r>
        <w:t xml:space="preserve"> at 500 mg twice daily (1000 mg/day), or placebo. After taking the supplement or placebo for 21 days, they were given a 21-day washout period before 21 days on the alternative treatment (placebo or </w:t>
      </w:r>
      <w:r w:rsidR="00B91F18">
        <w:t>NRC</w:t>
      </w:r>
      <w:r>
        <w:t>). Subjects attended the clinical research facility for assessments at 8:00 am in a fasted state at the start of each treatment (</w:t>
      </w:r>
      <w:r w:rsidR="00B91F18">
        <w:t>NRC</w:t>
      </w:r>
      <w:r>
        <w:t xml:space="preserve"> or placebo) (Days 1 and 43 of study) and at the end of each treatment (Days 22 and 64 of study). Participants were subject to medical examination, recording of AEs and compliance, collection of blood samples, measurement of blood pressure and collection of urine over 24 h. On Days 1, 22 and 64, participants were also subject to measurement of hand grip strength, muscle biopsy, glucose tolerance test, indirect calorimetry, assessment of muscle arteriovenous difference, and venous occlusive plethysmography. </w:t>
      </w:r>
    </w:p>
    <w:p w14:paraId="14E8E274" w14:textId="77777777" w:rsidR="00AF2384" w:rsidRDefault="00AF2384" w:rsidP="00AF2384"/>
    <w:p w14:paraId="45444798" w14:textId="67361C36" w:rsidR="00AF2384" w:rsidRDefault="00AF2384" w:rsidP="00AF2384">
      <w:r>
        <w:t xml:space="preserve">All subjects completed the study. </w:t>
      </w:r>
      <w:r w:rsidR="00B91F18">
        <w:t>NRC</w:t>
      </w:r>
      <w:r>
        <w:t xml:space="preserve"> was well tolerated with no adverse effects </w:t>
      </w:r>
      <w:r>
        <w:lastRenderedPageBreak/>
        <w:t xml:space="preserve">observed on clinical pathological assessments for a variety of parameters including markers of liver, kidney and thyroid function. No participants reported AEs. Four participants reported increased libido while on </w:t>
      </w:r>
      <w:r w:rsidR="00B91F18">
        <w:t>NRC</w:t>
      </w:r>
      <w:r>
        <w:t xml:space="preserve">, but no participants reported this effect while on the placebo. </w:t>
      </w:r>
    </w:p>
    <w:p w14:paraId="677B68AF" w14:textId="77777777" w:rsidR="00AF2384" w:rsidRDefault="00AF2384" w:rsidP="00AF2384"/>
    <w:p w14:paraId="046BF2F2" w14:textId="3B8D6AC6" w:rsidR="00AF2384" w:rsidRDefault="00AF2384" w:rsidP="00AF2384">
      <w:r>
        <w:t xml:space="preserve">Other reported results were that </w:t>
      </w:r>
      <w:r w:rsidR="00B91F18">
        <w:t>NRC</w:t>
      </w:r>
      <w:r>
        <w:t xml:space="preserve"> increased </w:t>
      </w:r>
      <w:r w:rsidR="007D3F57">
        <w:t>NAD</w:t>
      </w:r>
      <w:r w:rsidR="007D3F57" w:rsidRPr="007D3F57">
        <w:rPr>
          <w:vertAlign w:val="superscript"/>
        </w:rPr>
        <w:t>+</w:t>
      </w:r>
      <w:r>
        <w:t xml:space="preserve"> and </w:t>
      </w:r>
      <w:r w:rsidR="007D3F57">
        <w:t xml:space="preserve">Nam </w:t>
      </w:r>
      <w:r>
        <w:t>clearance products in</w:t>
      </w:r>
      <w:r w:rsidR="007D3F57">
        <w:t xml:space="preserve"> </w:t>
      </w:r>
      <w:r>
        <w:t xml:space="preserve"> muscle, downregulated energy metabolism and mitochondrial pathways, and depressed levels of circulating inflammatory cytokines. The authors concluded that oral </w:t>
      </w:r>
      <w:r w:rsidR="00685186" w:rsidRPr="00685186">
        <w:t>nicotinamide riboside</w:t>
      </w:r>
      <w:r>
        <w:t xml:space="preserve"> is available to muscles of aged people, and has anti-inflammatory effects.</w:t>
      </w:r>
    </w:p>
    <w:p w14:paraId="6F0623A4" w14:textId="77777777" w:rsidR="00C57E2A" w:rsidRDefault="00C57E2A" w:rsidP="00AF2384"/>
    <w:p w14:paraId="77F4F6C4" w14:textId="5CC1053F" w:rsidR="00AF2384" w:rsidRPr="00B10EFE" w:rsidRDefault="00AF2384" w:rsidP="00AF2384">
      <w:pPr>
        <w:rPr>
          <w:i/>
        </w:rPr>
      </w:pPr>
      <w:r>
        <w:rPr>
          <w:i/>
        </w:rPr>
        <w:t>6-week</w:t>
      </w:r>
      <w:r w:rsidRPr="00B10EFE">
        <w:rPr>
          <w:i/>
        </w:rPr>
        <w:t xml:space="preserve"> </w:t>
      </w:r>
      <w:r w:rsidR="00B91F18">
        <w:rPr>
          <w:i/>
        </w:rPr>
        <w:t>NRC</w:t>
      </w:r>
      <w:r w:rsidRPr="00B10EFE">
        <w:rPr>
          <w:i/>
        </w:rPr>
        <w:t xml:space="preserve"> supplementation study, with randomised double-blind crossover design, in </w:t>
      </w:r>
      <w:r>
        <w:rPr>
          <w:i/>
        </w:rPr>
        <w:t>middle-aged and older adults</w:t>
      </w:r>
      <w:r w:rsidRPr="00B10EFE">
        <w:rPr>
          <w:i/>
        </w:rPr>
        <w:t xml:space="preserve"> </w:t>
      </w:r>
      <w:r w:rsidRPr="007F292F">
        <w:rPr>
          <w:i/>
        </w:rPr>
        <w:t>(Martens et al 2018).</w:t>
      </w:r>
      <w:r w:rsidRPr="00B10EFE">
        <w:rPr>
          <w:i/>
        </w:rPr>
        <w:t xml:space="preserve"> Regulatory status: Not GLP or GCP. </w:t>
      </w:r>
    </w:p>
    <w:p w14:paraId="0BABB458" w14:textId="77777777" w:rsidR="00AF2384" w:rsidRDefault="00AF2384" w:rsidP="00AF2384"/>
    <w:p w14:paraId="55324040" w14:textId="0D253F84" w:rsidR="00AF2384" w:rsidRDefault="00AF2384" w:rsidP="00AF2384">
      <w:r>
        <w:t xml:space="preserve">Subjects for this study were men and postmenopausal women in good health, with a mean age of 65 </w:t>
      </w:r>
      <w:r>
        <w:rPr>
          <w:rFonts w:cs="Arial"/>
        </w:rPr>
        <w:t>±</w:t>
      </w:r>
      <w:r w:rsidR="009A46B7">
        <w:rPr>
          <w:rFonts w:cs="Arial"/>
        </w:rPr>
        <w:t xml:space="preserve"> </w:t>
      </w:r>
      <w:r>
        <w:t xml:space="preserve">7 y and a mean BMI of 24 </w:t>
      </w:r>
      <w:r>
        <w:rPr>
          <w:rFonts w:cs="Arial"/>
        </w:rPr>
        <w:t>±</w:t>
      </w:r>
      <w:r w:rsidR="009A46B7">
        <w:rPr>
          <w:rFonts w:cs="Arial"/>
        </w:rPr>
        <w:t xml:space="preserve"> </w:t>
      </w:r>
      <w:r>
        <w:t xml:space="preserve">4.  Exclusion criteria included peripheral artery disease, overt cardiovascular disease, abnormal blood chemistries for liver or kidney function, uncontrolled thyroid disease, alcohol dependence, severe obesity and unstable weight. A total of 24 subjects, 12/group, completed the trial. Supplements were </w:t>
      </w:r>
      <w:r w:rsidR="00B91F18">
        <w:t>NRC</w:t>
      </w:r>
      <w:r>
        <w:t xml:space="preserve"> (500 mg x 2/d) or placebo, with morning and evening meals for 6 w. A washout period between interventions was not included. Adherence was measured by pill count every two weeks, and bodyweight was recorded at the same time. At prestudy screening and at the end of each intervention phase, blood samples were collected. Assessments at the end of each phase included a variety of measurements of cardiovascular function (blood pressure, aortic stiffness, carotid artery compliance, endothelium dependent dilation), metabolic function resting metabolic rate, insulin sensitivity), exercise capacity and physical function (cardiorespiratory fitness, walking endurance, muscle strength, rate of torque development, handgrip strength, leg fatigability, dynamic balance, mobility, manual dexterity). Peripheral blood mononuclear cells were isolated from blood samples for extraction and measurement of NAD</w:t>
      </w:r>
      <w:r w:rsidR="00B70218" w:rsidRPr="00BD42B0">
        <w:rPr>
          <w:vertAlign w:val="superscript"/>
        </w:rPr>
        <w:t>+</w:t>
      </w:r>
      <w:r>
        <w:t xml:space="preserve"> metabolites and nucleosides/nucleotides. </w:t>
      </w:r>
      <w:r w:rsidR="000B792C">
        <w:t xml:space="preserve">Results of analysis of </w:t>
      </w:r>
      <w:r w:rsidR="000B792C" w:rsidRPr="000B792C">
        <w:t>NAD</w:t>
      </w:r>
      <w:r w:rsidR="00B70218" w:rsidRPr="00BD42B0">
        <w:rPr>
          <w:vertAlign w:val="superscript"/>
        </w:rPr>
        <w:t>+</w:t>
      </w:r>
      <w:r w:rsidR="000B792C" w:rsidRPr="000B792C">
        <w:t xml:space="preserve"> metabolites and nucleosides/nucleotides</w:t>
      </w:r>
      <w:r w:rsidR="000B792C">
        <w:t xml:space="preserve"> are described in Section 2.3.1.</w:t>
      </w:r>
    </w:p>
    <w:p w14:paraId="03D7BE81" w14:textId="77777777" w:rsidR="00AF2384" w:rsidRDefault="00AF2384" w:rsidP="00AF2384"/>
    <w:p w14:paraId="06B419E2" w14:textId="7D5FDA72" w:rsidR="00AF2384" w:rsidRDefault="00AF2384" w:rsidP="00AF2384">
      <w:r>
        <w:t xml:space="preserve">Adherence to the study treatments was excellent (&gt;95%). </w:t>
      </w:r>
      <w:r w:rsidR="00B91F18">
        <w:t>NRC</w:t>
      </w:r>
      <w:r>
        <w:t xml:space="preserve"> was well tolerated with no serious AEs. No subjects dropped out of the study during the </w:t>
      </w:r>
      <w:r w:rsidR="00B91F18">
        <w:t>NRC</w:t>
      </w:r>
      <w:r>
        <w:t xml:space="preserve"> phase. Reported mild AEs during the </w:t>
      </w:r>
      <w:r w:rsidR="00B91F18">
        <w:t>NRC</w:t>
      </w:r>
      <w:r>
        <w:t xml:space="preserve"> supplementation included one episode of nausea, one skin rash, one of flushing, one of leg cramps and one of increased bruising. Blood analysis showed no evidence of changes in haematology or blood chemistry, including markers of hepatic and renal function. There were no significant changes in blood lipid profiles. Oral </w:t>
      </w:r>
      <w:r w:rsidR="00B91F18">
        <w:t>NRC</w:t>
      </w:r>
      <w:r>
        <w:t xml:space="preserve"> supplementation led to significantly increased NAD</w:t>
      </w:r>
      <w:r w:rsidR="00B70218" w:rsidRPr="00BD42B0">
        <w:rPr>
          <w:vertAlign w:val="superscript"/>
        </w:rPr>
        <w:t>+</w:t>
      </w:r>
      <w:r>
        <w:t xml:space="preserve"> and </w:t>
      </w:r>
      <w:r w:rsidR="007B04E3">
        <w:t xml:space="preserve">NAAD </w:t>
      </w:r>
      <w:r>
        <w:t xml:space="preserve">in peripheral blood mononuclear cells. No significant effects of </w:t>
      </w:r>
      <w:r w:rsidR="00B91F18">
        <w:t>NRC</w:t>
      </w:r>
      <w:r>
        <w:t xml:space="preserve"> supplementation were observed in the other parameters measured.  </w:t>
      </w:r>
    </w:p>
    <w:p w14:paraId="1201EC63" w14:textId="77777777" w:rsidR="00C57E2A" w:rsidRDefault="00C57E2A" w:rsidP="00AF2384"/>
    <w:p w14:paraId="440EBD58" w14:textId="39908D0A" w:rsidR="00AF2384" w:rsidRPr="00B10EFE" w:rsidRDefault="00AF2384" w:rsidP="00AF2384">
      <w:pPr>
        <w:rPr>
          <w:i/>
        </w:rPr>
      </w:pPr>
      <w:r>
        <w:rPr>
          <w:i/>
        </w:rPr>
        <w:t>6-week</w:t>
      </w:r>
      <w:r w:rsidRPr="00B10EFE">
        <w:rPr>
          <w:i/>
        </w:rPr>
        <w:t xml:space="preserve"> </w:t>
      </w:r>
      <w:r w:rsidR="00B91F18">
        <w:rPr>
          <w:i/>
        </w:rPr>
        <w:t>NRC</w:t>
      </w:r>
      <w:r w:rsidRPr="00B10EFE">
        <w:rPr>
          <w:i/>
        </w:rPr>
        <w:t xml:space="preserve"> supplementation study, with randomised double-blind crossover design, in </w:t>
      </w:r>
      <w:r>
        <w:rPr>
          <w:i/>
        </w:rPr>
        <w:t>obese volunteers</w:t>
      </w:r>
      <w:r w:rsidRPr="00B10EFE">
        <w:rPr>
          <w:i/>
        </w:rPr>
        <w:t xml:space="preserve"> </w:t>
      </w:r>
      <w:r w:rsidRPr="007F292F">
        <w:rPr>
          <w:i/>
        </w:rPr>
        <w:t>(Remie et al 2020).</w:t>
      </w:r>
      <w:r w:rsidRPr="00B10EFE">
        <w:rPr>
          <w:i/>
        </w:rPr>
        <w:t xml:space="preserve"> Regulatory status: Not GLP or GCP. </w:t>
      </w:r>
    </w:p>
    <w:p w14:paraId="0482BA88" w14:textId="77777777" w:rsidR="00AF2384" w:rsidRDefault="00AF2384" w:rsidP="00AF2384"/>
    <w:p w14:paraId="263A938D" w14:textId="371260DD" w:rsidR="00AF2384" w:rsidRDefault="00AF2384" w:rsidP="00AF2384">
      <w:r>
        <w:t xml:space="preserve">This study was not intended to be a tolerance study but was conducted to investigate the effects of </w:t>
      </w:r>
      <w:r w:rsidR="00B91F18">
        <w:t>NRC</w:t>
      </w:r>
      <w:r>
        <w:t xml:space="preserve"> supplementation on insulin sensitivity, mitochondrial function and other metabolic health parameters in obese volunteers. Thirteen volunteers, including six men and seven postmenopausal women, completed the study. Inclusion criteria included age range 45 to 65 y, BMI 27 to 35, non-smoking, with </w:t>
      </w:r>
      <w:r>
        <w:lastRenderedPageBreak/>
        <w:t xml:space="preserve">sedentary lifestyle, stable bodyweight, no active diseases, and alcohol consumption of </w:t>
      </w:r>
      <w:r>
        <w:rPr>
          <w:rFonts w:cs="Arial"/>
        </w:rPr>
        <w:t>≤</w:t>
      </w:r>
      <w:r>
        <w:t xml:space="preserve"> 2 servings/d. Mean age was 59 </w:t>
      </w:r>
      <w:r>
        <w:rPr>
          <w:rFonts w:cs="Arial"/>
        </w:rPr>
        <w:t>±</w:t>
      </w:r>
      <w:r>
        <w:t xml:space="preserve"> 5 y, and mean BMI was 30.2 </w:t>
      </w:r>
      <w:r>
        <w:rPr>
          <w:rFonts w:cs="Arial"/>
        </w:rPr>
        <w:t>±</w:t>
      </w:r>
      <w:r>
        <w:t xml:space="preserve"> 2.6. Participants received 1000 mg/d </w:t>
      </w:r>
      <w:r w:rsidR="00B91F18">
        <w:t>NRC</w:t>
      </w:r>
      <w:r>
        <w:t xml:space="preserve"> or placebo for 6 w</w:t>
      </w:r>
      <w:r w:rsidR="009A46B7">
        <w:t>ee</w:t>
      </w:r>
      <w:r>
        <w:t>k</w:t>
      </w:r>
      <w:r w:rsidR="009A46B7">
        <w:t>s</w:t>
      </w:r>
      <w:r>
        <w:t>, followed by a 4 to 7 w</w:t>
      </w:r>
      <w:r w:rsidR="009A46B7">
        <w:t>ee</w:t>
      </w:r>
      <w:r>
        <w:t xml:space="preserve">k washout before commencing the placebo or </w:t>
      </w:r>
      <w:r w:rsidR="00B91F18">
        <w:t>NRC</w:t>
      </w:r>
      <w:r>
        <w:t xml:space="preserve">, as applicable. Compliance was determined by weekly pill count, and body weight and blood sampling were conducted according to the same schedule. Assessments and samples during each intervention included resting acetylcarnitine concentrations in skeletal muscle on Day 32, </w:t>
      </w:r>
      <w:r w:rsidRPr="009F3AD5">
        <w:t xml:space="preserve">intrahepatic and intramyocellular lipid measurements on Day 36, </w:t>
      </w:r>
      <w:r>
        <w:t>sleeping metabolic rate on Day 36 (measured overnight in a metabolic chamber), insulin sensitivity measured by hyperinsulaemic</w:t>
      </w:r>
      <w:r w:rsidR="009F4D2A">
        <w:t>:</w:t>
      </w:r>
      <w:r>
        <w:t>euglycaemic clamp on Day 37, cardiac phosphocreatine:ATP ratio and left ventricular ejection fraction on Day 37, skeletal muscle biopsy taken on Day 37, 24-h ambulatory blood pressure on Days 38 and 39 (two days and one nigh</w:t>
      </w:r>
      <w:r w:rsidR="00FD73F5">
        <w:t xml:space="preserve"> </w:t>
      </w:r>
      <w:r>
        <w:t>t), and body composition on Day 40. The skeletal muscle biopsies were used to measure NAD</w:t>
      </w:r>
      <w:r w:rsidR="00B70218" w:rsidRPr="00BD42B0">
        <w:rPr>
          <w:vertAlign w:val="superscript"/>
        </w:rPr>
        <w:t>+</w:t>
      </w:r>
      <w:r>
        <w:t xml:space="preserve"> metabolites, mitochondrial respiration, protein content, and acylcarnitine concentrations. Glucose, free fatty acids, triglycerides, cholesterol, HDL cholesterol and inflammatory cytokine concentrations were measured in blood. </w:t>
      </w:r>
    </w:p>
    <w:p w14:paraId="303B5F24" w14:textId="77777777" w:rsidR="00AF2384" w:rsidRDefault="00AF2384" w:rsidP="00AF2384"/>
    <w:p w14:paraId="70BDB687" w14:textId="4312B670" w:rsidR="00AF2384" w:rsidRPr="007E4D1B" w:rsidRDefault="00B91F18" w:rsidP="00AF2384">
      <w:r>
        <w:t>NRC</w:t>
      </w:r>
      <w:r w:rsidR="00AF2384">
        <w:t xml:space="preserve"> at 1000 mg/d was well tolerated, with no AEs or side effects reported. Compliance was high (99.3%). Supplementation with </w:t>
      </w:r>
      <w:r>
        <w:t>NRC</w:t>
      </w:r>
      <w:r w:rsidR="00AF2384">
        <w:t xml:space="preserve"> was associated with elevation in </w:t>
      </w:r>
      <w:r w:rsidR="007B04E3">
        <w:t>NAAD</w:t>
      </w:r>
      <w:r w:rsidR="00AF2384">
        <w:t xml:space="preserve">, acetylcarnitine and </w:t>
      </w:r>
      <w:r w:rsidR="00FD73F5">
        <w:t>MeNam</w:t>
      </w:r>
      <w:r w:rsidR="00AF2384">
        <w:t xml:space="preserve"> in skeletal muscle; slight increase in body fat-free mass; increased sleeping metabolic  rate; and increased capacity to form acetylcarnitine in muscle during exercise. No effects in insulin sensitivity, mitochondrial function, hepatic or intramyocellular lipid accumulation, cardiac energy status, cardiac ejection fraction, </w:t>
      </w:r>
      <w:r w:rsidR="00AF2384" w:rsidRPr="007E4D1B">
        <w:t xml:space="preserve">ambulatory blood pressure, plasma markers of inflammation or energy metabolism were detected. </w:t>
      </w:r>
    </w:p>
    <w:p w14:paraId="12C460A1" w14:textId="77777777" w:rsidR="00C57E2A" w:rsidRPr="007E4D1B" w:rsidRDefault="00C57E2A" w:rsidP="00AF2384"/>
    <w:p w14:paraId="3E826E28" w14:textId="3CD49B56" w:rsidR="00AF2384" w:rsidRDefault="00AF2384" w:rsidP="00AF2384">
      <w:pPr>
        <w:rPr>
          <w:i/>
        </w:rPr>
      </w:pPr>
      <w:r w:rsidRPr="007E4D1B">
        <w:t>8</w:t>
      </w:r>
      <w:r w:rsidRPr="007E4D1B">
        <w:rPr>
          <w:i/>
        </w:rPr>
        <w:t xml:space="preserve">-week </w:t>
      </w:r>
      <w:r w:rsidR="00B91F18">
        <w:rPr>
          <w:i/>
        </w:rPr>
        <w:t>NRC</w:t>
      </w:r>
      <w:r w:rsidRPr="00B10EFE">
        <w:rPr>
          <w:i/>
        </w:rPr>
        <w:t xml:space="preserve"> supplementation study, with randomised double-blind design, in </w:t>
      </w:r>
      <w:r>
        <w:rPr>
          <w:i/>
        </w:rPr>
        <w:t>healthy overweight volunteers</w:t>
      </w:r>
      <w:r w:rsidRPr="00B10EFE">
        <w:rPr>
          <w:i/>
        </w:rPr>
        <w:t xml:space="preserve"> (</w:t>
      </w:r>
      <w:r>
        <w:rPr>
          <w:i/>
        </w:rPr>
        <w:t xml:space="preserve">published by </w:t>
      </w:r>
      <w:r w:rsidRPr="007F292F">
        <w:rPr>
          <w:i/>
        </w:rPr>
        <w:t xml:space="preserve">Conze </w:t>
      </w:r>
      <w:r w:rsidRPr="00FC0353">
        <w:t>et al</w:t>
      </w:r>
      <w:r w:rsidRPr="007F292F">
        <w:rPr>
          <w:i/>
        </w:rPr>
        <w:t xml:space="preserve"> 20</w:t>
      </w:r>
      <w:r w:rsidR="00F20170">
        <w:rPr>
          <w:i/>
        </w:rPr>
        <w:t>19</w:t>
      </w:r>
      <w:r w:rsidRPr="007F292F">
        <w:rPr>
          <w:i/>
        </w:rPr>
        <w:t>;</w:t>
      </w:r>
      <w:r>
        <w:rPr>
          <w:i/>
        </w:rPr>
        <w:t xml:space="preserve"> unpublished study report is by Schacter (study director) 2018</w:t>
      </w:r>
      <w:r w:rsidRPr="00B10EFE">
        <w:rPr>
          <w:i/>
        </w:rPr>
        <w:t>. Regulatory status: GCP</w:t>
      </w:r>
      <w:r>
        <w:rPr>
          <w:i/>
        </w:rPr>
        <w:t>, ICH guidelines</w:t>
      </w:r>
      <w:r w:rsidRPr="00B10EFE">
        <w:rPr>
          <w:i/>
        </w:rPr>
        <w:t xml:space="preserve">. </w:t>
      </w:r>
    </w:p>
    <w:p w14:paraId="2CC8BE1D" w14:textId="77777777" w:rsidR="00AF2384" w:rsidRDefault="00AF2384" w:rsidP="00AF2384">
      <w:pPr>
        <w:rPr>
          <w:i/>
        </w:rPr>
      </w:pPr>
    </w:p>
    <w:p w14:paraId="1A0BF631" w14:textId="7303F332" w:rsidR="00AF2384" w:rsidRDefault="00AF2384" w:rsidP="00AF2384">
      <w:r>
        <w:t xml:space="preserve">Healthy men and non-pregnant, non-breastfeeding women between the ages of 40 and 60 y, with a BMI between 25 and 30, were recruited for this study provided they were willing to refrain from vitamin B3 supplements and foods high in  tryptophan or vitamin B3. Exclusion criteria included diabetes, active peptic ulcer, alcohol consumption </w:t>
      </w:r>
      <w:r w:rsidR="000B792C">
        <w:t>above</w:t>
      </w:r>
      <w:r>
        <w:t xml:space="preserve"> 2 servings/d, recent history of drug or alcohol abuse, use of medical marijuana, antihypertensives or lipid-lowering medications, history of renal or hepatic disease, or history of niacin deficiency. Eligible recruits (n=140) were randomised to four groups (35/group). The drop-out rate did not exceed 2/group. Groups were supplemented with 0 (placebo), 100, 300 or 1000 mg </w:t>
      </w:r>
      <w:r w:rsidR="00B91F18">
        <w:t>NRC</w:t>
      </w:r>
      <w:r>
        <w:t>/day for eight weeks. Participants kept records of supplementation diet, and any AEs, and the records were reviewed at least twice weekly. Anthropometric parameters and vital signs were recorded at screening and on Days 0, 7, 14, 28 and 56. Blood and urine samples were collected according to the same schedule. Parameters measured in blood included haematology, electrolytes, markers of renal and hepatic function, blood lipid profiles and NAD</w:t>
      </w:r>
      <w:r w:rsidR="00B70218" w:rsidRPr="00BD42B0">
        <w:rPr>
          <w:vertAlign w:val="superscript"/>
        </w:rPr>
        <w:t>+</w:t>
      </w:r>
      <w:r>
        <w:t xml:space="preserve"> metabolites. Urine was analysed for NAD</w:t>
      </w:r>
      <w:r w:rsidR="00B70218" w:rsidRPr="00BD42B0">
        <w:rPr>
          <w:vertAlign w:val="superscript"/>
        </w:rPr>
        <w:t>+</w:t>
      </w:r>
      <w:r>
        <w:t xml:space="preserve"> metabolites. </w:t>
      </w:r>
      <w:r w:rsidR="000B792C">
        <w:t xml:space="preserve">Results from analysis of </w:t>
      </w:r>
      <w:r w:rsidR="000B792C" w:rsidRPr="000B792C">
        <w:t>NAD</w:t>
      </w:r>
      <w:r w:rsidR="00B70218" w:rsidRPr="00BD42B0">
        <w:rPr>
          <w:vertAlign w:val="superscript"/>
        </w:rPr>
        <w:t>+</w:t>
      </w:r>
      <w:r w:rsidR="000B792C" w:rsidRPr="000B792C">
        <w:t xml:space="preserve"> metabolites</w:t>
      </w:r>
      <w:r w:rsidR="000B792C">
        <w:t xml:space="preserve"> are </w:t>
      </w:r>
      <w:r w:rsidR="00C20DD2">
        <w:t xml:space="preserve">discussed </w:t>
      </w:r>
      <w:r w:rsidR="000B792C">
        <w:t>in Section 2.3.1.</w:t>
      </w:r>
    </w:p>
    <w:p w14:paraId="57F07F74" w14:textId="77777777" w:rsidR="00AF2384" w:rsidRDefault="00AF2384" w:rsidP="00AF2384"/>
    <w:p w14:paraId="4FB41041" w14:textId="1E2ABBAE" w:rsidR="00AF2384" w:rsidRDefault="00AF2384" w:rsidP="00AF2384">
      <w:pPr>
        <w:rPr>
          <w:rFonts w:cs="Arial"/>
        </w:rPr>
      </w:pPr>
      <w:r>
        <w:t xml:space="preserve">Compliance with supplementation was &gt;97% in all groups. No dose-dependent AEs were identified. There were no serious AEs, and the type, incidence and severity of the AEs were similar across all the groups. Of 26 AEs reported in the 100 </w:t>
      </w:r>
      <w:r>
        <w:lastRenderedPageBreak/>
        <w:t xml:space="preserve">mg/day group, 24 were considered unlikely to be related to </w:t>
      </w:r>
      <w:r w:rsidR="00B91F18">
        <w:t>NRC</w:t>
      </w:r>
      <w:r>
        <w:t xml:space="preserve">. The AEs considered to be possibly related to </w:t>
      </w:r>
      <w:r w:rsidR="00B91F18">
        <w:t>NRC</w:t>
      </w:r>
      <w:r>
        <w:t xml:space="preserve"> were leg pain and high blood pressure, and both were mild in intensity. Of 27 AEs reported in the 300 mg/day group, 25 were considered unlikely to be related to </w:t>
      </w:r>
      <w:r w:rsidR="00B91F18">
        <w:t>NRC</w:t>
      </w:r>
      <w:r>
        <w:t xml:space="preserve">, or not related to </w:t>
      </w:r>
      <w:r w:rsidR="00B91F18">
        <w:t>NRC</w:t>
      </w:r>
      <w:r>
        <w:t xml:space="preserve">. The two exceptions were nausea and muscle pain, and both were mild in intensity. A total of 22 AEs were reported in the 1000 mg/day group, of which 19 were considered unlikely to be related to </w:t>
      </w:r>
      <w:r w:rsidR="00B91F18">
        <w:t>NRC</w:t>
      </w:r>
      <w:r>
        <w:t xml:space="preserve">, or not related. AEs considered possibly related were sore back, muscle soreness and nausea. All were mild in intensity. All AEs were transient and resolved by the end of the study. Treatment with </w:t>
      </w:r>
      <w:r w:rsidR="00B91F18">
        <w:t>NRC</w:t>
      </w:r>
      <w:r>
        <w:t xml:space="preserve"> had no effect on mean systolic blood pressure, mean diastolic blood pressure, mean heart rate, or body weight. No dose-related alterations in group mean haematology or clinical chemistry values were observed, and all group mean values remained within normal ranges. </w:t>
      </w:r>
      <w:r w:rsidR="00B91F18">
        <w:t>NRC</w:t>
      </w:r>
      <w:r>
        <w:t xml:space="preserve"> had no effect on plasma homocysteine. Dose-dependent increases in metabolites of </w:t>
      </w:r>
      <w:r w:rsidR="00685186" w:rsidRPr="00685186">
        <w:t>nicotinamide riboside</w:t>
      </w:r>
      <w:r>
        <w:t xml:space="preserve"> were detected in blood and urine. Overall, there were no adverse effects of </w:t>
      </w:r>
      <w:r w:rsidR="00B91F18">
        <w:t>NRC</w:t>
      </w:r>
      <w:r>
        <w:t xml:space="preserve"> at doses </w:t>
      </w:r>
      <w:r>
        <w:rPr>
          <w:rFonts w:cs="Arial"/>
        </w:rPr>
        <w:t xml:space="preserve">≤ 1000 mg/day. </w:t>
      </w:r>
    </w:p>
    <w:p w14:paraId="49E07E01" w14:textId="77777777" w:rsidR="00AF2384" w:rsidRDefault="00AF2384" w:rsidP="00AF2384">
      <w:pPr>
        <w:rPr>
          <w:rFonts w:cs="Arial"/>
        </w:rPr>
      </w:pPr>
    </w:p>
    <w:p w14:paraId="444ED7E3" w14:textId="5B680FB3" w:rsidR="00AF2384" w:rsidRPr="00B10EFE" w:rsidRDefault="00AF2384" w:rsidP="00AF2384">
      <w:pPr>
        <w:rPr>
          <w:i/>
        </w:rPr>
      </w:pPr>
      <w:r>
        <w:t>12</w:t>
      </w:r>
      <w:r>
        <w:rPr>
          <w:i/>
        </w:rPr>
        <w:t>-week</w:t>
      </w:r>
      <w:r w:rsidRPr="00B10EFE">
        <w:rPr>
          <w:i/>
        </w:rPr>
        <w:t xml:space="preserve"> </w:t>
      </w:r>
      <w:r w:rsidR="00B91F18">
        <w:rPr>
          <w:i/>
        </w:rPr>
        <w:t>NRC</w:t>
      </w:r>
      <w:r w:rsidRPr="00B10EFE">
        <w:rPr>
          <w:i/>
        </w:rPr>
        <w:t xml:space="preserve"> supplementation study, with randomised double-blind design, in</w:t>
      </w:r>
      <w:r>
        <w:rPr>
          <w:i/>
        </w:rPr>
        <w:t xml:space="preserve"> obese men </w:t>
      </w:r>
      <w:r w:rsidRPr="00B10EFE">
        <w:rPr>
          <w:i/>
        </w:rPr>
        <w:t xml:space="preserve"> </w:t>
      </w:r>
      <w:r w:rsidRPr="007F292F">
        <w:rPr>
          <w:i/>
        </w:rPr>
        <w:t>(Dollerup et al 2018).</w:t>
      </w:r>
      <w:r w:rsidRPr="00B10EFE">
        <w:rPr>
          <w:i/>
        </w:rPr>
        <w:t xml:space="preserve"> Regulatory status: </w:t>
      </w:r>
      <w:r>
        <w:rPr>
          <w:i/>
        </w:rPr>
        <w:t>Not GCP</w:t>
      </w:r>
    </w:p>
    <w:p w14:paraId="1FBCEC0B" w14:textId="77777777" w:rsidR="00AF2384" w:rsidRDefault="00AF2384" w:rsidP="00AF2384">
      <w:pPr>
        <w:rPr>
          <w:rFonts w:cs="Arial"/>
        </w:rPr>
      </w:pPr>
    </w:p>
    <w:p w14:paraId="2DB82DE6" w14:textId="71751DE3" w:rsidR="00AF2384" w:rsidRPr="00CC2270" w:rsidRDefault="00AF2384" w:rsidP="00AF2384">
      <w:pPr>
        <w:rPr>
          <w:rFonts w:cs="Arial"/>
          <w:vertAlign w:val="superscript"/>
        </w:rPr>
      </w:pPr>
      <w:r>
        <w:rPr>
          <w:rFonts w:cs="Arial"/>
        </w:rPr>
        <w:t xml:space="preserve">Forty sedentary men with a BMI &gt;30, otherwise healthy nonsmokers in the age range </w:t>
      </w:r>
      <w:r w:rsidR="00191195">
        <w:rPr>
          <w:rFonts w:cs="Arial"/>
        </w:rPr>
        <w:br/>
      </w:r>
      <w:r>
        <w:rPr>
          <w:rFonts w:cs="Arial"/>
        </w:rPr>
        <w:t xml:space="preserve">40-70 y, were the participants in this study. Prestudy assessment included a clinical examination and electrocardiography. From two weeks prior to the start of the intervention, participants were asked to refrain from taking vitamins or other dietary supplements. Participants received oral supplementation with either 1000 mg </w:t>
      </w:r>
      <w:r w:rsidR="00B91F18">
        <w:rPr>
          <w:rFonts w:cs="Arial"/>
        </w:rPr>
        <w:t>NRC</w:t>
      </w:r>
      <w:r>
        <w:rPr>
          <w:rFonts w:cs="Arial"/>
        </w:rPr>
        <w:t xml:space="preserve"> twice daily (2000 mg/day, 1000 mg morning and evening), or a placebo, for 12 weeks. Examinations prior to supplementation and at the end of the study included dual-energy X-ray absorptiometry scan, MR imaging and spectroscopy, hyperinsulinaemic</w:t>
      </w:r>
      <w:r w:rsidR="009F4D2A">
        <w:rPr>
          <w:rFonts w:cs="Arial"/>
        </w:rPr>
        <w:t>:</w:t>
      </w:r>
      <w:r>
        <w:rPr>
          <w:rFonts w:cs="Arial"/>
        </w:rPr>
        <w:t xml:space="preserve">euglycaemic clamp with infusion of radioactive tracers of glucose and palmitate, indirect calorimetry, repetitive blood sampling, and biopsies of muscle and adipose tissue. Dual-energy X-ray absorptiometry scanning was used to assess body composition and bone mineral density. MR imaging and spectroscopy were used to measure hepatic lipid content, abdominal subcutaneous adipose tissue, and visceral adipose tissue. Participants kept a diet journal for three days prior to the clamp study and were asked to repeat the dietary pattern prior to the second clamp study. Urine was collected before and after each clamp period. Prior to the clamp studies, participants were also asked to refrain from alcohol and physical exercise. At six weeks, the midpoint of the intervention, a blood sample was drawn for clinical pathology and reports of AEs were recorded. Reports of AEs were also recorded at the end of the trial. </w:t>
      </w:r>
    </w:p>
    <w:p w14:paraId="0DC5AA79" w14:textId="77777777" w:rsidR="00AF2384" w:rsidRDefault="00AF2384" w:rsidP="00AF2384"/>
    <w:p w14:paraId="7329963B" w14:textId="6AE9BB38" w:rsidR="00AF2384" w:rsidRPr="00B10EFE" w:rsidRDefault="00AF2384" w:rsidP="00AF2384">
      <w:r>
        <w:t xml:space="preserve">Compliance with the intervention was &gt;95%.  </w:t>
      </w:r>
      <w:r w:rsidR="00B91F18">
        <w:t>NRC</w:t>
      </w:r>
      <w:r>
        <w:t xml:space="preserve"> at 2000 mg/day was well tolerated. There were four reports of minor AEs in the </w:t>
      </w:r>
      <w:r w:rsidR="00B91F18">
        <w:t>NRC</w:t>
      </w:r>
      <w:r>
        <w:t xml:space="preserve"> group; pruritis, excessive sweating, bloating, and transient changes in stool. All AEs were mild. No abnormalities were found in haematology or clinical chemistry at the 6-week midpoint. Supplementation with </w:t>
      </w:r>
      <w:r w:rsidR="00B91F18">
        <w:t>NRC</w:t>
      </w:r>
      <w:r>
        <w:t xml:space="preserve"> had no effect on group mean results for insulin sensitivity, insulin stimulation, palmitate flux, resting energy expenditure, body composition, distributions of abdominal subcutaneous and visceral adipose tissue, respiratory exchange ratio, or oxidation rates of glucose, lipid or protein. Overall, </w:t>
      </w:r>
      <w:r w:rsidR="00B91F18">
        <w:t>NRC</w:t>
      </w:r>
      <w:r>
        <w:t xml:space="preserve"> supplementation did not result in a significant difference between the treated and placebo group in hepatic lipid content, but interindividual variability led the authors to suggest that there may be responders and non</w:t>
      </w:r>
      <w:r w:rsidR="001B3BD4">
        <w:t>-</w:t>
      </w:r>
      <w:r>
        <w:t xml:space="preserve">responders to </w:t>
      </w:r>
      <w:r w:rsidR="00B91F18">
        <w:t>NRC</w:t>
      </w:r>
      <w:r>
        <w:t xml:space="preserve"> in this parameter. </w:t>
      </w:r>
      <w:r w:rsidR="00B91F18">
        <w:t>NRC</w:t>
      </w:r>
      <w:r>
        <w:t xml:space="preserve"> supplementation was associated with a slight increase in group mean  plasma </w:t>
      </w:r>
      <w:r>
        <w:lastRenderedPageBreak/>
        <w:t xml:space="preserve">triglyceride although all values remained within the normal reference range for the laboratory. </w:t>
      </w:r>
      <w:r w:rsidR="00B91F18">
        <w:t>NRC</w:t>
      </w:r>
      <w:r>
        <w:t xml:space="preserve"> supplementation did not have any effect on group mean values for total cholesterol, LDL cholesterol or HDL cholesterol or any other clinical chemistry findings. It was concluded that </w:t>
      </w:r>
      <w:r w:rsidR="00B91F18">
        <w:t>NRC</w:t>
      </w:r>
      <w:r>
        <w:t xml:space="preserve"> supplementation is safe at 2000 mg/day. </w:t>
      </w:r>
    </w:p>
    <w:p w14:paraId="119327C5" w14:textId="50013A9A" w:rsidR="009B7BC2" w:rsidRDefault="009B7BC2" w:rsidP="00BA6BAC">
      <w:pPr>
        <w:pStyle w:val="Heading3"/>
        <w:numPr>
          <w:ilvl w:val="2"/>
          <w:numId w:val="36"/>
        </w:numPr>
        <w:ind w:left="851" w:hanging="851"/>
      </w:pPr>
      <w:bookmarkStart w:id="387" w:name="_Toc65682787"/>
      <w:bookmarkStart w:id="388" w:name="_Toc65764328"/>
      <w:bookmarkStart w:id="389" w:name="_Toc65764661"/>
      <w:bookmarkStart w:id="390" w:name="_Toc65841230"/>
      <w:bookmarkStart w:id="391" w:name="_Toc66443245"/>
      <w:bookmarkStart w:id="392" w:name="_Toc66436801"/>
      <w:bookmarkStart w:id="393" w:name="_Toc66458153"/>
      <w:bookmarkStart w:id="394" w:name="_Toc66451427"/>
      <w:bookmarkStart w:id="395" w:name="_Toc66458820"/>
      <w:bookmarkStart w:id="396" w:name="_Toc66458953"/>
      <w:bookmarkStart w:id="397" w:name="_Toc66461648"/>
      <w:bookmarkStart w:id="398" w:name="_Toc69899756"/>
      <w:bookmarkStart w:id="399" w:name="_Toc65509077"/>
      <w:bookmarkStart w:id="400" w:name="_Toc65578814"/>
      <w:bookmarkStart w:id="401" w:name="_Toc65587208"/>
      <w:bookmarkStart w:id="402" w:name="_Toc65587178"/>
      <w:r>
        <w:t>Flushing</w:t>
      </w:r>
      <w:bookmarkEnd w:id="387"/>
      <w:bookmarkEnd w:id="388"/>
      <w:bookmarkEnd w:id="389"/>
      <w:bookmarkEnd w:id="390"/>
      <w:bookmarkEnd w:id="391"/>
      <w:bookmarkEnd w:id="392"/>
      <w:bookmarkEnd w:id="393"/>
      <w:bookmarkEnd w:id="394"/>
      <w:bookmarkEnd w:id="395"/>
      <w:bookmarkEnd w:id="396"/>
      <w:bookmarkEnd w:id="397"/>
      <w:bookmarkEnd w:id="398"/>
    </w:p>
    <w:p w14:paraId="233BE789" w14:textId="7FB534A0" w:rsidR="009B7BC2" w:rsidRDefault="009B7BC2" w:rsidP="009B7BC2">
      <w:r>
        <w:t>Dermal flushing is a side effect of high doses of nicotinic acid supplementation (Sebrell and Butler 1938, Spies et al. 1938)</w:t>
      </w:r>
      <w:r w:rsidR="00FE62E9">
        <w:t>,</w:t>
      </w:r>
      <w:r>
        <w:t xml:space="preserve">  caused by the activation of the nicotinic acid G-protein coupled receptor GPR109A in epidermal Langerhans cells (Benyo et al. 2005, Benyo et al. 2006). This activation results in the production of prostaglandins D</w:t>
      </w:r>
      <w:r w:rsidRPr="00503563">
        <w:rPr>
          <w:vertAlign w:val="subscript"/>
        </w:rPr>
        <w:t>2</w:t>
      </w:r>
      <w:r>
        <w:t xml:space="preserve"> and E</w:t>
      </w:r>
      <w:r w:rsidRPr="00503563">
        <w:rPr>
          <w:vertAlign w:val="subscript"/>
        </w:rPr>
        <w:t xml:space="preserve">2 </w:t>
      </w:r>
      <w:r>
        <w:t xml:space="preserve">(Kamanna et al. 2009) leading to vasodilation of capillaries. </w:t>
      </w:r>
    </w:p>
    <w:p w14:paraId="4C2E2FD6" w14:textId="77777777" w:rsidR="009B7BC2" w:rsidRDefault="009B7BC2" w:rsidP="009B7BC2"/>
    <w:p w14:paraId="22EE0002" w14:textId="3682E660" w:rsidR="009B7BC2" w:rsidRPr="0086522D" w:rsidRDefault="009B7BC2" w:rsidP="009B7BC2">
      <w:r>
        <w:t xml:space="preserve">Nicotinamide is not converted to nicotinic acid </w:t>
      </w:r>
      <w:r w:rsidRPr="00B01B3F">
        <w:rPr>
          <w:i/>
        </w:rPr>
        <w:t>in vivo</w:t>
      </w:r>
      <w:r>
        <w:t xml:space="preserve"> and the GPR109A receptor is specific for nicotinic acid (Wise et al. 2003), therefore a flushing response is not expected for either nicotinamide or nicotinamide riboside (Bogan and Brenner 2008). T</w:t>
      </w:r>
      <w:r w:rsidRPr="002D764B">
        <w:t xml:space="preserve">wo </w:t>
      </w:r>
      <w:r>
        <w:t xml:space="preserve">of twelve </w:t>
      </w:r>
      <w:r w:rsidRPr="002D764B">
        <w:t xml:space="preserve">participants </w:t>
      </w:r>
      <w:r>
        <w:t>self-</w:t>
      </w:r>
      <w:r w:rsidRPr="002D764B">
        <w:t xml:space="preserve">reported flushing </w:t>
      </w:r>
      <w:r>
        <w:t xml:space="preserve">at the 300 mg dose, </w:t>
      </w:r>
      <w:r w:rsidRPr="002D764B">
        <w:t xml:space="preserve">but </w:t>
      </w:r>
      <w:r>
        <w:t>not at the 100 mg or 1000 mg dose, in the study of Trammell et al. (2016). One patient receiving NRC reported flushing in the study by Martens et al. (2018)</w:t>
      </w:r>
      <w:r w:rsidR="00FE62E9">
        <w:t>, but so did two patients receiving placebo</w:t>
      </w:r>
      <w:r>
        <w:t xml:space="preserve">. </w:t>
      </w:r>
      <w:r w:rsidRPr="00871828">
        <w:t xml:space="preserve">None of the patients in </w:t>
      </w:r>
      <w:r>
        <w:t xml:space="preserve">the three other human studies </w:t>
      </w:r>
      <w:r w:rsidR="007E0896">
        <w:t>reviewed (</w:t>
      </w:r>
      <w:r w:rsidR="007E0896" w:rsidRPr="00871828">
        <w:t>Airhart</w:t>
      </w:r>
      <w:r w:rsidR="007E0896">
        <w:t xml:space="preserve"> et al. 2017, Dollerup et al. 2018, Conze</w:t>
      </w:r>
      <w:r w:rsidR="007E0896" w:rsidRPr="00871828">
        <w:t xml:space="preserve"> </w:t>
      </w:r>
      <w:r w:rsidR="007E0896">
        <w:t>et al. 2019)</w:t>
      </w:r>
      <w:r w:rsidR="00FE62E9">
        <w:t xml:space="preserve"> </w:t>
      </w:r>
      <w:r w:rsidRPr="00871828">
        <w:t>reported flushing</w:t>
      </w:r>
      <w:r>
        <w:t xml:space="preserve"> as an </w:t>
      </w:r>
      <w:r w:rsidR="007E0896">
        <w:t>AE</w:t>
      </w:r>
      <w:r>
        <w:t xml:space="preserve"> of NRC supplementation. FSANZ concludes that in general NRC supplementation is not associated with flushing</w:t>
      </w:r>
      <w:r w:rsidR="007E0896">
        <w:t>, and would not be expected to induce flushing</w:t>
      </w:r>
      <w:r>
        <w:t xml:space="preserve">. </w:t>
      </w:r>
    </w:p>
    <w:p w14:paraId="4CBF7E0F" w14:textId="27953484" w:rsidR="001B3BD4" w:rsidRDefault="007D2E2E" w:rsidP="00BA6BAC">
      <w:pPr>
        <w:pStyle w:val="Heading3"/>
        <w:numPr>
          <w:ilvl w:val="2"/>
          <w:numId w:val="36"/>
        </w:numPr>
        <w:ind w:left="851" w:hanging="851"/>
      </w:pPr>
      <w:bookmarkStart w:id="403" w:name="_Toc65682788"/>
      <w:bookmarkStart w:id="404" w:name="_Toc65764329"/>
      <w:bookmarkStart w:id="405" w:name="_Toc65764662"/>
      <w:bookmarkStart w:id="406" w:name="_Toc65841231"/>
      <w:bookmarkStart w:id="407" w:name="_Toc66443246"/>
      <w:bookmarkStart w:id="408" w:name="_Toc66436802"/>
      <w:bookmarkStart w:id="409" w:name="_Toc66458154"/>
      <w:bookmarkStart w:id="410" w:name="_Toc66451428"/>
      <w:bookmarkStart w:id="411" w:name="_Toc66458821"/>
      <w:bookmarkStart w:id="412" w:name="_Toc66458954"/>
      <w:bookmarkStart w:id="413" w:name="_Toc66461649"/>
      <w:bookmarkStart w:id="414" w:name="_Toc69899757"/>
      <w:r w:rsidRPr="007D2E2E">
        <w:t xml:space="preserve">Human allergenic  </w:t>
      </w:r>
      <w:r w:rsidR="001B3BD4">
        <w:t>potential</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0D327FDB" w14:textId="77777777" w:rsidR="003B4572" w:rsidRDefault="003B4572" w:rsidP="003B4572">
      <w:pPr>
        <w:rPr>
          <w:lang w:bidi="ar-SA"/>
        </w:rPr>
      </w:pPr>
      <w:r>
        <w:rPr>
          <w:lang w:bidi="ar-SA"/>
        </w:rPr>
        <w:t xml:space="preserve">NRC is synthetic, with no animal or botanical origins. Purity exceeds 90%, and neither NRC or the &lt;10% that is residual, contain any protein or any substance associated with human hypersensitivity reactions. </w:t>
      </w:r>
    </w:p>
    <w:p w14:paraId="655F9D18" w14:textId="77777777" w:rsidR="003B4572" w:rsidRDefault="003B4572" w:rsidP="003B4572">
      <w:pPr>
        <w:rPr>
          <w:lang w:bidi="ar-SA"/>
        </w:rPr>
      </w:pPr>
    </w:p>
    <w:p w14:paraId="448E4C44" w14:textId="201A85D3" w:rsidR="001B3BD4" w:rsidRDefault="003B4572" w:rsidP="003B4572">
      <w:pPr>
        <w:rPr>
          <w:lang w:bidi="ar-SA"/>
        </w:rPr>
      </w:pPr>
      <w:r>
        <w:rPr>
          <w:lang w:bidi="ar-SA"/>
        </w:rPr>
        <w:t>No case reports of allergic reactions to NRC were located by literature search.</w:t>
      </w:r>
    </w:p>
    <w:p w14:paraId="0D6BF9A8" w14:textId="745D20DD" w:rsidR="00D77D32" w:rsidRDefault="001B3BD4" w:rsidP="00BA6BAC">
      <w:pPr>
        <w:pStyle w:val="Heading3"/>
        <w:numPr>
          <w:ilvl w:val="2"/>
          <w:numId w:val="36"/>
        </w:numPr>
        <w:ind w:left="851" w:hanging="851"/>
      </w:pPr>
      <w:bookmarkStart w:id="415" w:name="_Toc65509078"/>
      <w:bookmarkStart w:id="416" w:name="_Toc65578815"/>
      <w:bookmarkStart w:id="417" w:name="_Toc65587209"/>
      <w:bookmarkStart w:id="418" w:name="_Toc65587179"/>
      <w:bookmarkStart w:id="419" w:name="_Toc65682789"/>
      <w:bookmarkStart w:id="420" w:name="_Toc65764330"/>
      <w:bookmarkStart w:id="421" w:name="_Toc65764663"/>
      <w:bookmarkStart w:id="422" w:name="_Toc65841232"/>
      <w:bookmarkStart w:id="423" w:name="_Toc66443247"/>
      <w:bookmarkStart w:id="424" w:name="_Toc66436803"/>
      <w:bookmarkStart w:id="425" w:name="_Toc66458155"/>
      <w:bookmarkStart w:id="426" w:name="_Toc66451429"/>
      <w:bookmarkStart w:id="427" w:name="_Toc66458822"/>
      <w:bookmarkStart w:id="428" w:name="_Toc66458955"/>
      <w:bookmarkStart w:id="429" w:name="_Toc66461650"/>
      <w:bookmarkStart w:id="430" w:name="_Toc69899758"/>
      <w:r>
        <w:t>Other studies</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29CB3BB" w14:textId="6A8EAE1A" w:rsidR="001B3BD4" w:rsidRDefault="00351327" w:rsidP="001B3BD4">
      <w:pPr>
        <w:rPr>
          <w:lang w:bidi="ar-SA"/>
        </w:rPr>
      </w:pPr>
      <w:r>
        <w:rPr>
          <w:lang w:bidi="ar-SA"/>
        </w:rPr>
        <w:t xml:space="preserve">A small number of </w:t>
      </w:r>
      <w:r w:rsidR="00BD6DED">
        <w:rPr>
          <w:lang w:bidi="ar-SA"/>
        </w:rPr>
        <w:t xml:space="preserve">reviews and </w:t>
      </w:r>
      <w:r>
        <w:rPr>
          <w:lang w:bidi="ar-SA"/>
        </w:rPr>
        <w:t>studies of nicotinamide riboside were located by literature search, that were reviewed but were not considered to be relevant to this hazard assessment.</w:t>
      </w:r>
      <w:r w:rsidR="001550A3">
        <w:rPr>
          <w:lang w:bidi="ar-SA"/>
        </w:rPr>
        <w:t xml:space="preserve"> They are briefly summarized in this section.</w:t>
      </w:r>
    </w:p>
    <w:p w14:paraId="7EBA011F" w14:textId="684B683C" w:rsidR="00BD6DED" w:rsidRDefault="00BD6DED" w:rsidP="001B3BD4">
      <w:pPr>
        <w:rPr>
          <w:lang w:bidi="ar-SA"/>
        </w:rPr>
      </w:pPr>
    </w:p>
    <w:p w14:paraId="2FEAA7E1" w14:textId="52721263" w:rsidR="00BD6DED" w:rsidRDefault="00BD6DED" w:rsidP="001B3BD4">
      <w:pPr>
        <w:rPr>
          <w:i/>
          <w:lang w:bidi="ar-SA"/>
        </w:rPr>
      </w:pPr>
      <w:r w:rsidRPr="00BD6DED">
        <w:rPr>
          <w:i/>
          <w:lang w:bidi="ar-SA"/>
        </w:rPr>
        <w:t>Reviews</w:t>
      </w:r>
    </w:p>
    <w:p w14:paraId="7D3845B7" w14:textId="7D45BA0D" w:rsidR="00BD6DED" w:rsidRDefault="00BD6DED" w:rsidP="001B3BD4">
      <w:pPr>
        <w:rPr>
          <w:i/>
          <w:lang w:bidi="ar-SA"/>
        </w:rPr>
      </w:pPr>
    </w:p>
    <w:p w14:paraId="76FF8632" w14:textId="772843F3" w:rsidR="00BD6DED" w:rsidRDefault="00940452" w:rsidP="001B3BD4">
      <w:pPr>
        <w:rPr>
          <w:lang w:bidi="ar-SA"/>
        </w:rPr>
      </w:pPr>
      <w:r>
        <w:rPr>
          <w:lang w:bidi="ar-SA"/>
        </w:rPr>
        <w:t xml:space="preserve">A review of </w:t>
      </w:r>
      <w:r w:rsidRPr="00976688">
        <w:rPr>
          <w:lang w:bidi="ar-SA"/>
        </w:rPr>
        <w:t>NAD</w:t>
      </w:r>
      <w:r w:rsidR="00976688">
        <w:rPr>
          <w:vertAlign w:val="superscript"/>
          <w:lang w:bidi="ar-SA"/>
        </w:rPr>
        <w:t xml:space="preserve">+ </w:t>
      </w:r>
      <w:r w:rsidR="00976688">
        <w:rPr>
          <w:lang w:bidi="ar-SA"/>
        </w:rPr>
        <w:t xml:space="preserve">precursors by Bogan and Brenner (2008) and a </w:t>
      </w:r>
      <w:r w:rsidR="00BD6DED">
        <w:rPr>
          <w:lang w:bidi="ar-SA"/>
        </w:rPr>
        <w:t xml:space="preserve"> review of nicotinamide riboside by Chi </w:t>
      </w:r>
      <w:r w:rsidR="00B34F0E">
        <w:rPr>
          <w:lang w:bidi="ar-SA"/>
        </w:rPr>
        <w:t>and Sauve</w:t>
      </w:r>
      <w:r w:rsidR="00BD6DED">
        <w:rPr>
          <w:lang w:bidi="ar-SA"/>
        </w:rPr>
        <w:t xml:space="preserve"> (2013) summarized </w:t>
      </w:r>
      <w:r w:rsidR="00C20DD2">
        <w:rPr>
          <w:lang w:bidi="ar-SA"/>
        </w:rPr>
        <w:t>the metabolism of</w:t>
      </w:r>
      <w:r w:rsidR="00BD6DED">
        <w:rPr>
          <w:lang w:bidi="ar-SA"/>
        </w:rPr>
        <w:t xml:space="preserve"> nicotinamide riboside</w:t>
      </w:r>
      <w:r w:rsidR="00C20DD2">
        <w:rPr>
          <w:lang w:bidi="ar-SA"/>
        </w:rPr>
        <w:t>.</w:t>
      </w:r>
      <w:r w:rsidR="00BD6DED">
        <w:rPr>
          <w:lang w:bidi="ar-SA"/>
        </w:rPr>
        <w:t xml:space="preserve"> </w:t>
      </w:r>
      <w:r w:rsidR="00976688">
        <w:rPr>
          <w:lang w:bidi="ar-SA"/>
        </w:rPr>
        <w:t>Bogan and Brenner (2008) noted that Nrk1 is ubiquitous in mammalian tissues whereas Nrk2 is found in heart, brain and skeletal muscle, but not in kidney, liver, lung, pancreas or placenta. Therapeutic potential of nicotinamide riboside in neurological disorders were mentioned in both reviews, but no</w:t>
      </w:r>
      <w:r>
        <w:rPr>
          <w:lang w:bidi="ar-SA"/>
        </w:rPr>
        <w:t xml:space="preserve"> adverse effects of nicotinamide riboside were mentioned. </w:t>
      </w:r>
    </w:p>
    <w:p w14:paraId="1F4FD56A" w14:textId="3706654E" w:rsidR="00C310E8" w:rsidRDefault="00C310E8" w:rsidP="001B3BD4">
      <w:pPr>
        <w:rPr>
          <w:lang w:bidi="ar-SA"/>
        </w:rPr>
      </w:pPr>
    </w:p>
    <w:p w14:paraId="0B69236D" w14:textId="24493C20" w:rsidR="00C310E8" w:rsidRDefault="00C310E8" w:rsidP="001B3BD4">
      <w:pPr>
        <w:rPr>
          <w:lang w:bidi="ar-SA"/>
        </w:rPr>
      </w:pPr>
      <w:r>
        <w:rPr>
          <w:lang w:bidi="ar-SA"/>
        </w:rPr>
        <w:t xml:space="preserve">A review by Yoshino et al (2018) described beneficial effects of nicotinamide riboside on some muscle disorders, on liver function, and on the nervous system, including some neurodegenerative disorders. They speculated on some hypothetical detrimental effects such as promotion of tumour growth, inhibition of sirtuins, or depletion of methyl donors, but did not present any evidence that these outcomes </w:t>
      </w:r>
      <w:r>
        <w:rPr>
          <w:lang w:bidi="ar-SA"/>
        </w:rPr>
        <w:lastRenderedPageBreak/>
        <w:t xml:space="preserve">would occur. In the absence of data to show that these </w:t>
      </w:r>
      <w:r w:rsidR="00773AF0">
        <w:rPr>
          <w:lang w:bidi="ar-SA"/>
        </w:rPr>
        <w:t xml:space="preserve">adverse effects occur </w:t>
      </w:r>
      <w:r w:rsidR="00773AF0" w:rsidRPr="00773AF0">
        <w:rPr>
          <w:i/>
          <w:lang w:bidi="ar-SA"/>
        </w:rPr>
        <w:t>in vivo</w:t>
      </w:r>
      <w:r w:rsidR="00773AF0">
        <w:rPr>
          <w:lang w:bidi="ar-SA"/>
        </w:rPr>
        <w:t>, these comments are not considered to be relevant to this hazard assessment.</w:t>
      </w:r>
    </w:p>
    <w:p w14:paraId="54F595F2" w14:textId="6AC57615" w:rsidR="00940452" w:rsidRDefault="00940452" w:rsidP="001B3BD4">
      <w:pPr>
        <w:rPr>
          <w:lang w:bidi="ar-SA"/>
        </w:rPr>
      </w:pPr>
    </w:p>
    <w:p w14:paraId="345005B5" w14:textId="4A5B01B2" w:rsidR="00940452" w:rsidRPr="00BD6DED" w:rsidRDefault="00B9679C" w:rsidP="001B3BD4">
      <w:pPr>
        <w:rPr>
          <w:lang w:bidi="ar-SA"/>
        </w:rPr>
      </w:pPr>
      <w:r>
        <w:rPr>
          <w:lang w:bidi="ar-SA"/>
        </w:rPr>
        <w:t xml:space="preserve">Mehmel et al (2020) summarized the potential therapeutic effects of nicotinamide riboside on neurodegenerative </w:t>
      </w:r>
      <w:r w:rsidR="00873DA8">
        <w:rPr>
          <w:lang w:bidi="ar-SA"/>
        </w:rPr>
        <w:t xml:space="preserve">and </w:t>
      </w:r>
      <w:r>
        <w:rPr>
          <w:lang w:bidi="ar-SA"/>
        </w:rPr>
        <w:t xml:space="preserve">cardiovascular disorders, </w:t>
      </w:r>
      <w:r w:rsidR="00873DA8">
        <w:rPr>
          <w:lang w:bidi="ar-SA"/>
        </w:rPr>
        <w:t>and as supportive therapy in severe infections</w:t>
      </w:r>
      <w:r w:rsidR="00800696">
        <w:rPr>
          <w:lang w:bidi="ar-SA"/>
        </w:rPr>
        <w:t>. This review of possible therapeutic effects</w:t>
      </w:r>
      <w:r w:rsidR="00C20DD2">
        <w:rPr>
          <w:lang w:bidi="ar-SA"/>
        </w:rPr>
        <w:t xml:space="preserve"> </w:t>
      </w:r>
      <w:r w:rsidR="00873DA8">
        <w:rPr>
          <w:lang w:bidi="ar-SA"/>
        </w:rPr>
        <w:t xml:space="preserve">is not </w:t>
      </w:r>
      <w:r w:rsidR="00800696">
        <w:rPr>
          <w:lang w:bidi="ar-SA"/>
        </w:rPr>
        <w:t>relevant to the current application</w:t>
      </w:r>
      <w:r w:rsidR="00873DA8">
        <w:rPr>
          <w:lang w:bidi="ar-SA"/>
        </w:rPr>
        <w:t xml:space="preserve">. </w:t>
      </w:r>
    </w:p>
    <w:p w14:paraId="65B9CB8F" w14:textId="323D2E65" w:rsidR="00351327" w:rsidRDefault="00351327" w:rsidP="001B3BD4">
      <w:pPr>
        <w:rPr>
          <w:lang w:bidi="ar-SA"/>
        </w:rPr>
      </w:pPr>
    </w:p>
    <w:p w14:paraId="0D70E9CB" w14:textId="7569D6BF" w:rsidR="00BD6DED" w:rsidRPr="00BD6DED" w:rsidRDefault="00BD6DED" w:rsidP="001B3BD4">
      <w:pPr>
        <w:rPr>
          <w:i/>
          <w:lang w:bidi="ar-SA"/>
        </w:rPr>
      </w:pPr>
      <w:r w:rsidRPr="00BD6DED">
        <w:rPr>
          <w:i/>
          <w:lang w:bidi="ar-SA"/>
        </w:rPr>
        <w:t>Studies</w:t>
      </w:r>
    </w:p>
    <w:p w14:paraId="09404CFC" w14:textId="77777777" w:rsidR="00BD6DED" w:rsidRDefault="00BD6DED" w:rsidP="001B3BD4">
      <w:pPr>
        <w:rPr>
          <w:lang w:bidi="ar-SA"/>
        </w:rPr>
      </w:pPr>
    </w:p>
    <w:p w14:paraId="7029AC29" w14:textId="70448BD7" w:rsidR="00351327" w:rsidRDefault="00351327" w:rsidP="001B3BD4">
      <w:pPr>
        <w:rPr>
          <w:lang w:bidi="ar-SA"/>
        </w:rPr>
      </w:pPr>
      <w:r>
        <w:rPr>
          <w:lang w:bidi="ar-SA"/>
        </w:rPr>
        <w:t>Kourtzidis et al (2016) reported that nicotinamide riboside decreases exercise performance in rats. The test article in their study was not NRC, but nicotinamide riboside made by another manufacturer. The test system comprised male Wistar rats, kept under standard conditions of environment and husbandry. Prior to study start, rats were acclimatized to swimming.  Rats were assigned, 9/group, to a control group</w:t>
      </w:r>
      <w:r w:rsidR="00945DDD">
        <w:rPr>
          <w:lang w:bidi="ar-SA"/>
        </w:rPr>
        <w:t xml:space="preserve"> gavaged daily with saline vehicle, </w:t>
      </w:r>
      <w:r>
        <w:rPr>
          <w:lang w:bidi="ar-SA"/>
        </w:rPr>
        <w:t xml:space="preserve">and a group </w:t>
      </w:r>
      <w:r w:rsidR="00945DDD">
        <w:rPr>
          <w:lang w:bidi="ar-SA"/>
        </w:rPr>
        <w:t xml:space="preserve">gavaged with 300 mg/kg bw/day nicotinamide riboside. The dosing period was 21 days. </w:t>
      </w:r>
      <w:r w:rsidR="0054560C">
        <w:rPr>
          <w:lang w:bidi="ar-SA"/>
        </w:rPr>
        <w:t>At the end of the dosing period, e</w:t>
      </w:r>
      <w:r w:rsidR="00945DDD">
        <w:rPr>
          <w:lang w:bidi="ar-SA"/>
        </w:rPr>
        <w:t>xercise performance was tested by swimming performance in 34</w:t>
      </w:r>
      <w:r w:rsidR="00945DDD">
        <w:rPr>
          <w:rFonts w:cs="Arial"/>
          <w:lang w:bidi="ar-SA"/>
        </w:rPr>
        <w:t>°</w:t>
      </w:r>
      <w:r w:rsidR="0054560C">
        <w:rPr>
          <w:lang w:bidi="ar-SA"/>
        </w:rPr>
        <w:t>C water with weights attached to the base of each rat’s tail. The weight was progressively increased up to 10% of the rat’s bodyweight. The group mean value for time to exhaustion of the treated rats was 35% worse than that of the control group</w:t>
      </w:r>
      <w:r w:rsidR="00DC0949">
        <w:rPr>
          <w:lang w:bidi="ar-SA"/>
        </w:rPr>
        <w:t xml:space="preserve"> (94 </w:t>
      </w:r>
      <w:r w:rsidR="00DC0949">
        <w:rPr>
          <w:rFonts w:cs="Arial"/>
          <w:lang w:bidi="ar-SA"/>
        </w:rPr>
        <w:t xml:space="preserve">± </w:t>
      </w:r>
      <w:r w:rsidR="00DC0949">
        <w:rPr>
          <w:lang w:bidi="ar-SA"/>
        </w:rPr>
        <w:t xml:space="preserve">53 s cf. 145 </w:t>
      </w:r>
      <w:r w:rsidR="00DC0949">
        <w:rPr>
          <w:rFonts w:cs="Arial"/>
          <w:lang w:bidi="ar-SA"/>
        </w:rPr>
        <w:t>±</w:t>
      </w:r>
      <w:r w:rsidR="00DC0949">
        <w:rPr>
          <w:lang w:bidi="ar-SA"/>
        </w:rPr>
        <w:t xml:space="preserve"> 59 s; </w:t>
      </w:r>
      <w:r w:rsidR="00DC0949" w:rsidRPr="00DC0949">
        <w:rPr>
          <w:i/>
          <w:lang w:bidi="ar-SA"/>
        </w:rPr>
        <w:t>p</w:t>
      </w:r>
      <w:r w:rsidR="00DC0949">
        <w:rPr>
          <w:lang w:bidi="ar-SA"/>
        </w:rPr>
        <w:t xml:space="preserve"> = 0.071)</w:t>
      </w:r>
      <w:r w:rsidR="0054560C">
        <w:rPr>
          <w:lang w:bidi="ar-SA"/>
        </w:rPr>
        <w:t xml:space="preserve">. </w:t>
      </w:r>
      <w:r w:rsidR="008017B9">
        <w:rPr>
          <w:lang w:bidi="ar-SA"/>
        </w:rPr>
        <w:t xml:space="preserve">The authors noted that similar negative effects on stamina have been reported for </w:t>
      </w:r>
      <w:r w:rsidR="0084099A">
        <w:rPr>
          <w:lang w:bidi="ar-SA"/>
        </w:rPr>
        <w:t>NA</w:t>
      </w:r>
      <w:r w:rsidR="008017B9">
        <w:rPr>
          <w:lang w:bidi="ar-SA"/>
        </w:rPr>
        <w:t xml:space="preserve">, and attributed to decreased oxidation of fatty acids. </w:t>
      </w:r>
      <w:r w:rsidR="0054560C">
        <w:rPr>
          <w:lang w:bidi="ar-SA"/>
        </w:rPr>
        <w:t xml:space="preserve">This study is not considered relevant to the safety of NRC as a supplement </w:t>
      </w:r>
      <w:r w:rsidR="008017B9">
        <w:rPr>
          <w:lang w:bidi="ar-SA"/>
        </w:rPr>
        <w:t>in FSMP.</w:t>
      </w:r>
    </w:p>
    <w:p w14:paraId="09AB11C8" w14:textId="462EFB4E" w:rsidR="008017B9" w:rsidRDefault="008017B9" w:rsidP="001B3BD4">
      <w:pPr>
        <w:rPr>
          <w:lang w:bidi="ar-SA"/>
        </w:rPr>
      </w:pPr>
    </w:p>
    <w:p w14:paraId="136BC8FD" w14:textId="4AE71FC6" w:rsidR="008017B9" w:rsidRDefault="001550A3" w:rsidP="001B3BD4">
      <w:pPr>
        <w:rPr>
          <w:lang w:bidi="ar-SA"/>
        </w:rPr>
      </w:pPr>
      <w:r>
        <w:rPr>
          <w:lang w:bidi="ar-SA"/>
        </w:rPr>
        <w:t xml:space="preserve">An 18-week dietary intervention in male C57BL/6JRccHsd mice </w:t>
      </w:r>
      <w:r w:rsidR="00996927">
        <w:rPr>
          <w:lang w:bidi="ar-SA"/>
        </w:rPr>
        <w:t xml:space="preserve">(Shi et al 2019) </w:t>
      </w:r>
      <w:r>
        <w:rPr>
          <w:lang w:bidi="ar-SA"/>
        </w:rPr>
        <w:t>investigated responses to high dose supplementation with nicotinamide riboside in the context of a mildly obesogenic diet. All mice were maintained under standard laboratory environmental and husbandry conditions, and fed a diet containing 40% energy from fat, intended to resemble average human consumption of fat in the Netherlands. After two weeks of acclimatisation to the diet, mice were assigned to groups, 12/group. The diet of the control group was supplemented with 30 mg nicotinamide riboside/kg diet</w:t>
      </w:r>
      <w:r w:rsidR="00F13DF7">
        <w:rPr>
          <w:lang w:bidi="ar-SA"/>
        </w:rPr>
        <w:t xml:space="preserve">, the recommended level, </w:t>
      </w:r>
      <w:r>
        <w:rPr>
          <w:lang w:bidi="ar-SA"/>
        </w:rPr>
        <w:t xml:space="preserve">whereas the diet of the treatment group was supplemented with 9000 mg nicotinamide riboside/kg diet. </w:t>
      </w:r>
      <w:r w:rsidR="00ED7213">
        <w:rPr>
          <w:lang w:bidi="ar-SA"/>
        </w:rPr>
        <w:t xml:space="preserve">The source of the nicotinamide riboside was not stated. </w:t>
      </w:r>
      <w:r w:rsidR="00F13DF7">
        <w:rPr>
          <w:lang w:bidi="ar-SA"/>
        </w:rPr>
        <w:t xml:space="preserve">A variety of assessments were conducted during the in-life phase and after mice were killed at the end of the dietary intervention. Compared to the control group, mice fed the high dose of nicotinamide riboside showed reduced metabolic flexibility (AUC of respiratory exchange ratio), lower glucose clearance rate, increased insulin resistance, and molecular and morphological changes in epididymidal white adipose tissue. This study is not considered to be relevant to the current hazard assessment because the exposure to nicotinamide riboside was 300x the recommended level. The current hazard assessment concerns NRC added to FSMP, which are prescribed by </w:t>
      </w:r>
      <w:r w:rsidR="00F05AFB">
        <w:rPr>
          <w:lang w:bidi="ar-SA"/>
        </w:rPr>
        <w:t>medical practitioners</w:t>
      </w:r>
      <w:r w:rsidR="00F13DF7">
        <w:rPr>
          <w:lang w:bidi="ar-SA"/>
        </w:rPr>
        <w:t xml:space="preserve"> and may be expected to be </w:t>
      </w:r>
      <w:r w:rsidR="00BD5765">
        <w:rPr>
          <w:lang w:bidi="ar-SA"/>
        </w:rPr>
        <w:t xml:space="preserve">at the correct level of supplementation rather than an excessive level. </w:t>
      </w:r>
    </w:p>
    <w:p w14:paraId="7CF86A63" w14:textId="51A13C3B" w:rsidR="00587879" w:rsidRDefault="00587879" w:rsidP="001B3BD4">
      <w:pPr>
        <w:rPr>
          <w:lang w:bidi="ar-SA"/>
        </w:rPr>
      </w:pPr>
    </w:p>
    <w:p w14:paraId="31907CAD" w14:textId="0A7D6CF5" w:rsidR="00587879" w:rsidRDefault="00CC344E" w:rsidP="001B3BD4">
      <w:pPr>
        <w:rPr>
          <w:lang w:bidi="ar-SA"/>
        </w:rPr>
      </w:pPr>
      <w:r>
        <w:rPr>
          <w:lang w:bidi="ar-SA"/>
        </w:rPr>
        <w:t xml:space="preserve">Effects of nicotinamide riboside supplementation on rodent adipose tissue were also investigated by Serrano et al (2020). Suckling male NMRI mouse pups (12/group) were administered the vehicle (water), resveratrol in solution (2 mg/kg bw) or nicotinamide riboside (approximately 15x the total niacin ingested daily from maternal milk) from PND 2 to 20. Pups were weaned onto a normal diet on PND 21, and habituated to a normal-fat (10% energy as fat) diet from PND 75 to 90. One </w:t>
      </w:r>
      <w:r>
        <w:rPr>
          <w:lang w:bidi="ar-SA"/>
        </w:rPr>
        <w:lastRenderedPageBreak/>
        <w:t>PND 90, half the rats from each treatment group were switched to a purified high-fat</w:t>
      </w:r>
      <w:r w:rsidR="0084099A">
        <w:rPr>
          <w:lang w:bidi="ar-SA"/>
        </w:rPr>
        <w:t xml:space="preserve"> </w:t>
      </w:r>
      <w:r>
        <w:rPr>
          <w:lang w:bidi="ar-SA"/>
        </w:rPr>
        <w:t>(40% energy as fat)  diet</w:t>
      </w:r>
      <w:r w:rsidR="009F76AE">
        <w:rPr>
          <w:lang w:bidi="ar-SA"/>
        </w:rPr>
        <w:t xml:space="preserve">. All mice were killed on PND 164 for tissue collection. Supplementation with resveratrol or with nicotinamide riboside was associated with DNA methylation modifications in expression of </w:t>
      </w:r>
      <w:r w:rsidR="009F76AE" w:rsidRPr="009F76AE">
        <w:rPr>
          <w:i/>
          <w:lang w:bidi="ar-SA"/>
        </w:rPr>
        <w:t>Slc27a1</w:t>
      </w:r>
      <w:r w:rsidR="009F76AE">
        <w:rPr>
          <w:lang w:bidi="ar-SA"/>
        </w:rPr>
        <w:t xml:space="preserve">, a thermogenesis-related fatty acid transporter, and </w:t>
      </w:r>
      <w:r w:rsidR="009F76AE" w:rsidRPr="009F76AE">
        <w:rPr>
          <w:i/>
          <w:lang w:bidi="ar-SA"/>
        </w:rPr>
        <w:t>Prdm16</w:t>
      </w:r>
      <w:r w:rsidR="009F76AE">
        <w:rPr>
          <w:lang w:bidi="ar-SA"/>
        </w:rPr>
        <w:t xml:space="preserve">, a molecular determinant of brown beige adipocyte fate, in inguinal white adipose tissue. </w:t>
      </w:r>
      <w:r>
        <w:rPr>
          <w:lang w:bidi="ar-SA"/>
        </w:rPr>
        <w:t xml:space="preserve"> </w:t>
      </w:r>
      <w:r w:rsidR="009F76AE">
        <w:rPr>
          <w:lang w:bidi="ar-SA"/>
        </w:rPr>
        <w:t xml:space="preserve">The authors concluded that resveratrol and nicotinamide riboside may have therapeutic potential in obesity prevention in the long term. This study is not considered relevant to the current assessment because the </w:t>
      </w:r>
      <w:r w:rsidR="0087410D" w:rsidRPr="00BD42B0">
        <w:t>NHMRC</w:t>
      </w:r>
      <w:r w:rsidR="00ED7FF1" w:rsidRPr="00BD42B0">
        <w:t xml:space="preserve"> </w:t>
      </w:r>
      <w:r w:rsidR="00ED7FF1">
        <w:t xml:space="preserve">and </w:t>
      </w:r>
      <w:r w:rsidR="0087410D">
        <w:t>NZ MOH policy</w:t>
      </w:r>
      <w:r w:rsidR="00ED7FF1">
        <w:t xml:space="preserve"> </w:t>
      </w:r>
      <w:r w:rsidR="00ED7FF1">
        <w:rPr>
          <w:lang w:bidi="ar-SA"/>
        </w:rPr>
        <w:t>does not recommend supplementation with nicotinamide for children under 12 months of age (see Section 3.4).</w:t>
      </w:r>
    </w:p>
    <w:p w14:paraId="31417719" w14:textId="3B5BA35B" w:rsidR="00BE1330" w:rsidRDefault="00BE1330" w:rsidP="001B3BD4">
      <w:pPr>
        <w:rPr>
          <w:lang w:bidi="ar-SA"/>
        </w:rPr>
      </w:pPr>
    </w:p>
    <w:p w14:paraId="4596BFD0" w14:textId="7B36A898" w:rsidR="00BE1330" w:rsidRDefault="00BE1330" w:rsidP="001B3BD4">
      <w:pPr>
        <w:rPr>
          <w:lang w:bidi="ar-SA"/>
        </w:rPr>
      </w:pPr>
      <w:r>
        <w:rPr>
          <w:lang w:bidi="ar-SA"/>
        </w:rPr>
        <w:t>Hamity et al (2020) induced mammary gland tumours in female Sprague-Dawley rats by IP injection of N-methyl-nitrrosourea (NMU) at 21 day</w:t>
      </w:r>
      <w:r w:rsidR="00BF5525">
        <w:rPr>
          <w:lang w:bidi="ar-SA"/>
        </w:rPr>
        <w:t>s of age, in order to study the</w:t>
      </w:r>
      <w:r>
        <w:rPr>
          <w:lang w:bidi="ar-SA"/>
        </w:rPr>
        <w:t xml:space="preserve"> interaction of nicotinamide riboside and paclitaxel, and the effects of nicotinamide riboside on paclitaxel-induced peripheral neuropathy and on tumour growth. </w:t>
      </w:r>
      <w:r w:rsidR="00227A78">
        <w:rPr>
          <w:lang w:bidi="ar-SA"/>
        </w:rPr>
        <w:t xml:space="preserve">Group sizes varied from 6 to 12 depending on the parameter measured. </w:t>
      </w:r>
      <w:r>
        <w:rPr>
          <w:lang w:bidi="ar-SA"/>
        </w:rPr>
        <w:t xml:space="preserve">Paclitaxel treatment was initiated within 3 d of tumour appearance. Baseline paw withdrawal thresholds to tactile and cooling stimuli were determined before paclitaxel treatment was commenced. Nicotinamide riboside (200 mg/kg bw/day)or vehicle was administered by gavage for 28 days or until tumour burden necessitated euthanasia of the rat. Paw withdrawal to tactile or cooling stimuli was assessed on days 15 and 22 after paclitaxel treatment was begun. Other assessments were place-escape avoidance behaviour on Day 24, and locomotor activity on Day 28. Tumours were subject to histopathology after rats were killed on Day 28. </w:t>
      </w:r>
      <w:r w:rsidR="00227A78">
        <w:rPr>
          <w:lang w:bidi="ar-SA"/>
        </w:rPr>
        <w:t>Supplementation with nicotinamide riboside significantly reduced paclitaxel-induced hypersensitivity and suppressed aversive behaviour in rats with that neuropathy. Loss of intraepidermal nerve fibres due to paclitaxel was reduced by nicotinamide riboside supplementation. There was some evidence that nicotinamide supplementation enhanced the tumour-suppressing action of paclitaxel. This study is not considered to be relevant to the current assessment because it concerns possible therapeutic actions of riboside chloride in subjects with cancer tr</w:t>
      </w:r>
      <w:r w:rsidR="00BF5525">
        <w:rPr>
          <w:lang w:bidi="ar-SA"/>
        </w:rPr>
        <w:t xml:space="preserve">eated with paclitaxel. However </w:t>
      </w:r>
      <w:r w:rsidR="00227A78">
        <w:rPr>
          <w:lang w:bidi="ar-SA"/>
        </w:rPr>
        <w:t>it is noted that no adverse effects of nicotinamide riboside supplementation were reported.</w:t>
      </w:r>
    </w:p>
    <w:p w14:paraId="2292AA1D" w14:textId="4A7F7D45" w:rsidR="00996927" w:rsidRDefault="00996927" w:rsidP="001B3BD4">
      <w:pPr>
        <w:rPr>
          <w:lang w:bidi="ar-SA"/>
        </w:rPr>
      </w:pPr>
    </w:p>
    <w:p w14:paraId="5A9B3742" w14:textId="549DA235" w:rsidR="009C31DD" w:rsidRDefault="0004556B" w:rsidP="00191195">
      <w:pPr>
        <w:widowControl/>
        <w:rPr>
          <w:lang w:bidi="ar-SA"/>
        </w:rPr>
      </w:pPr>
      <w:r>
        <w:rPr>
          <w:lang w:bidi="ar-SA"/>
        </w:rPr>
        <w:t>Marinescu et al (2020) reported the results of a 90 day repeat-dose oral toxicity study of a high-purity synthetic N</w:t>
      </w:r>
      <w:r w:rsidR="00342726">
        <w:rPr>
          <w:lang w:bidi="ar-SA"/>
        </w:rPr>
        <w:t>RC</w:t>
      </w:r>
      <w:r>
        <w:rPr>
          <w:lang w:bidi="ar-SA"/>
        </w:rPr>
        <w:t xml:space="preserve"> in Sprague-Dawley rats. The test article was manufactured under GMP 21 CFR 211/210 by Elysium Health</w:t>
      </w:r>
      <w:r w:rsidR="00485326">
        <w:rPr>
          <w:lang w:bidi="ar-SA"/>
        </w:rPr>
        <w:t>, and had a purity of &gt;97%</w:t>
      </w:r>
      <w:r>
        <w:rPr>
          <w:lang w:bidi="ar-SA"/>
        </w:rPr>
        <w:t xml:space="preserve">. </w:t>
      </w:r>
      <w:r w:rsidR="0003600A">
        <w:rPr>
          <w:lang w:bidi="ar-SA"/>
        </w:rPr>
        <w:t xml:space="preserve">The vehicle and control article was distilled water. </w:t>
      </w:r>
      <w:r w:rsidR="00A728C7">
        <w:rPr>
          <w:lang w:bidi="ar-SA"/>
        </w:rPr>
        <w:t xml:space="preserve">The study was conducted under GLP, according to the OECD Guideline 408 and the US-FDA Redbook </w:t>
      </w:r>
      <w:r w:rsidR="0003600A">
        <w:rPr>
          <w:lang w:bidi="ar-SA"/>
        </w:rPr>
        <w:t>(2000). Dosage levels were 0, 300, 500 and 1200 mg/kg bw/day. Test subjects were Sprague-Dawley rats, 7 weeks old at acquisition, and acclimatised to standard laboratory environmental and husbandry conditions for one week before study start. Rats were individually housed. Rats were assigned to main study cohorts of 10/sex/group, and recovery cohorts of 5/sex/group. The dosing formulations were administered at a volume of 5 mL/kg. In-life parameters included twice-daily mortality/moribundity checks, daily cageside observations, weekly  detailed (in-hand) clinical observations, weekly body weights and weekly food consumption. Bodyweight gain and feed efficiency were calculated. Prior to study start and prior to scheduled kill, rats were subject to ophthalmologic examination. Urine was collected overnight in metabolism cages prior to scheduled kill, and blood was collected under anaesthesia immediately before rats were killed, for routine clinical pathology assessments. All rats were subject to complete necropsy and collection of a stand</w:t>
      </w:r>
      <w:r w:rsidR="00AA33C6">
        <w:rPr>
          <w:lang w:bidi="ar-SA"/>
        </w:rPr>
        <w:t xml:space="preserve">ard list of organs and tissues, with fresh weights recorded for the standard list of organs </w:t>
      </w:r>
      <w:r w:rsidR="00AA33C6">
        <w:rPr>
          <w:lang w:bidi="ar-SA"/>
        </w:rPr>
        <w:lastRenderedPageBreak/>
        <w:t xml:space="preserve">specified in the OECD guideline. All organs and tissues were fixed, and tissues </w:t>
      </w:r>
      <w:r w:rsidR="00AA33C6" w:rsidRPr="00AA33C6">
        <w:rPr>
          <w:lang w:bidi="ar-SA"/>
        </w:rPr>
        <w:t>from control and 1200 mg/kg bw/day rats</w:t>
      </w:r>
      <w:r w:rsidR="00C20DD2">
        <w:rPr>
          <w:lang w:bidi="ar-SA"/>
        </w:rPr>
        <w:t xml:space="preserve"> </w:t>
      </w:r>
      <w:r w:rsidR="00AA33C6">
        <w:rPr>
          <w:lang w:bidi="ar-SA"/>
        </w:rPr>
        <w:t>were processed to slides and stained with haematoxylin and eosin for microscopic examination from control and 1200 mg/kg bw/day rats.</w:t>
      </w:r>
      <w:r w:rsidR="00FD2278">
        <w:rPr>
          <w:lang w:bidi="ar-SA"/>
        </w:rPr>
        <w:t xml:space="preserve"> All rats survived to scheduled kill, and no abnormal clinical or ophthalmological findings were observed. Group mean values for weekly body weights and body weight gains were lower than those of control males in the 1200 mg/kg bw/day males, but the difference reached statistical significance only on Day 92, when the value was 13% lower than that of control males. Group mean values for food consumption and feed efficiency of 1200 mg/kg bw/day males were not significantly different to those of control males at any time during the study. There were no biologically relevant treatment-related changes in group mean values for any haematology, coagulation</w:t>
      </w:r>
      <w:r w:rsidR="001A7173">
        <w:rPr>
          <w:lang w:bidi="ar-SA"/>
        </w:rPr>
        <w:t>, serological</w:t>
      </w:r>
      <w:r w:rsidR="00FD2278">
        <w:rPr>
          <w:lang w:bidi="ar-SA"/>
        </w:rPr>
        <w:t xml:space="preserve"> or urinalysis parameters. </w:t>
      </w:r>
      <w:r w:rsidR="001A7173">
        <w:rPr>
          <w:lang w:bidi="ar-SA"/>
        </w:rPr>
        <w:t xml:space="preserve">There were no treatment-related findings on necropsy or on microscopic examination of tissues. Statistically significant increases in group mean values for weights of adrenals, brain, kidneys and liver, relative to bodyweight, in 1200 mg/kg bw/day males compared to control males were attributed to the slightly lower group mean terminal bodyweight of this group. Group mean values for heart, kidneys and testes of the recovery cohort of this group were also slightly increased relative to group mean terminal bodyweight, when compared to control males. The group mean value for liver to bodyweight ratio was also increased in 1200 mg/kg bw/day females, when compared to control females, in the main study cohort. The decrease in body weight and body weight gain in the 1200 mg/kg bw/day males was conservatively interpreted as adverse, and the NOAEL in this study was identified as 500 mg/kg bw/day. </w:t>
      </w:r>
    </w:p>
    <w:p w14:paraId="7AF74CD4" w14:textId="77777777" w:rsidR="009C31DD" w:rsidRDefault="009C31DD" w:rsidP="00191195">
      <w:pPr>
        <w:widowControl/>
        <w:rPr>
          <w:lang w:bidi="ar-SA"/>
        </w:rPr>
      </w:pPr>
    </w:p>
    <w:p w14:paraId="37D0CFAF" w14:textId="01772315" w:rsidR="00AF2384" w:rsidRDefault="001A7173" w:rsidP="00191195">
      <w:pPr>
        <w:widowControl/>
        <w:rPr>
          <w:lang w:bidi="ar-SA"/>
        </w:rPr>
      </w:pPr>
      <w:r>
        <w:rPr>
          <w:lang w:bidi="ar-SA"/>
        </w:rPr>
        <w:t xml:space="preserve">This study is considered to be </w:t>
      </w:r>
      <w:r w:rsidR="00342726">
        <w:rPr>
          <w:lang w:bidi="ar-SA"/>
        </w:rPr>
        <w:t xml:space="preserve">less </w:t>
      </w:r>
      <w:r>
        <w:rPr>
          <w:lang w:bidi="ar-SA"/>
        </w:rPr>
        <w:t xml:space="preserve">relevant </w:t>
      </w:r>
      <w:r w:rsidR="00342726">
        <w:rPr>
          <w:lang w:bidi="ar-SA"/>
        </w:rPr>
        <w:t>to the current Hazard Assessment than the 90-day rat study reported by Conze et al (2016), because</w:t>
      </w:r>
      <w:r w:rsidR="009E7B9A">
        <w:rPr>
          <w:lang w:bidi="ar-SA"/>
        </w:rPr>
        <w:t xml:space="preserve"> the test article</w:t>
      </w:r>
      <w:r w:rsidR="00342726">
        <w:rPr>
          <w:lang w:bidi="ar-SA"/>
        </w:rPr>
        <w:t xml:space="preserve">, although also </w:t>
      </w:r>
      <w:r w:rsidR="009E7B9A">
        <w:rPr>
          <w:lang w:bidi="ar-SA"/>
        </w:rPr>
        <w:t>a synthetic NRC</w:t>
      </w:r>
      <w:r w:rsidR="00342726">
        <w:rPr>
          <w:lang w:bidi="ar-SA"/>
        </w:rPr>
        <w:t xml:space="preserve">, was not the same </w:t>
      </w:r>
      <w:r w:rsidR="009E7B9A">
        <w:rPr>
          <w:lang w:bidi="ar-SA"/>
        </w:rPr>
        <w:t>NRC that is the subject of the current hazard assessment.</w:t>
      </w:r>
      <w:r w:rsidR="00342726">
        <w:rPr>
          <w:lang w:bidi="ar-SA"/>
        </w:rPr>
        <w:t xml:space="preserve"> FSANZ notes that the NOAEL identified by Conze et al (2016) is lower, at 300 mg/kg bw/day.</w:t>
      </w:r>
    </w:p>
    <w:p w14:paraId="45E3581F" w14:textId="553BE29A" w:rsidR="00D77D32" w:rsidRDefault="00D77D32" w:rsidP="00533BF1">
      <w:pPr>
        <w:pStyle w:val="Heading2"/>
      </w:pPr>
      <w:bookmarkStart w:id="431" w:name="_Toc65509079"/>
      <w:bookmarkStart w:id="432" w:name="_Toc65578816"/>
      <w:bookmarkStart w:id="433" w:name="_Toc65587210"/>
      <w:bookmarkStart w:id="434" w:name="_Toc65587180"/>
      <w:bookmarkStart w:id="435" w:name="_Toc65682790"/>
      <w:bookmarkStart w:id="436" w:name="_Toc65764331"/>
      <w:bookmarkStart w:id="437" w:name="_Toc65764664"/>
      <w:bookmarkStart w:id="438" w:name="_Toc65841233"/>
      <w:bookmarkStart w:id="439" w:name="_Toc66443248"/>
      <w:bookmarkStart w:id="440" w:name="_Toc66436804"/>
      <w:bookmarkStart w:id="441" w:name="_Toc66458156"/>
      <w:bookmarkStart w:id="442" w:name="_Toc66451430"/>
      <w:bookmarkStart w:id="443" w:name="_Toc66458823"/>
      <w:bookmarkStart w:id="444" w:name="_Toc66458956"/>
      <w:bookmarkStart w:id="445" w:name="_Toc66461651"/>
      <w:bookmarkStart w:id="446" w:name="_Toc69899759"/>
      <w:r>
        <w:t>Assessments by other regulatory agencies</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52302344" w14:textId="43E013AA" w:rsidR="00AF2384" w:rsidRDefault="00ED7FF1" w:rsidP="00AF2384">
      <w:pPr>
        <w:rPr>
          <w:i/>
        </w:rPr>
      </w:pPr>
      <w:r w:rsidRPr="00ED7FF1">
        <w:rPr>
          <w:i/>
        </w:rPr>
        <w:t>National Health and Medical Research Council</w:t>
      </w:r>
      <w:r>
        <w:rPr>
          <w:i/>
        </w:rPr>
        <w:t xml:space="preserve"> (NHMRC)</w:t>
      </w:r>
      <w:r w:rsidR="00592D8E">
        <w:rPr>
          <w:i/>
        </w:rPr>
        <w:t xml:space="preserve"> and New Zealand Ministry of Health (NZ MOH</w:t>
      </w:r>
      <w:r>
        <w:rPr>
          <w:i/>
        </w:rPr>
        <w:t>)</w:t>
      </w:r>
    </w:p>
    <w:p w14:paraId="5FFB4A9B" w14:textId="77777777" w:rsidR="00ED7FF1" w:rsidRDefault="00ED7FF1" w:rsidP="00AF2384">
      <w:pPr>
        <w:rPr>
          <w:i/>
        </w:rPr>
      </w:pPr>
    </w:p>
    <w:p w14:paraId="1BC5C631" w14:textId="3394284F" w:rsidR="00AF2384" w:rsidRDefault="00AF2384" w:rsidP="00AF2384">
      <w:r>
        <w:t>NR</w:t>
      </w:r>
      <w:r w:rsidR="00B91F18">
        <w:t>C</w:t>
      </w:r>
      <w:r>
        <w:t xml:space="preserve"> is proposed by the applicant as an form of Vitamin B3 (niacin)</w:t>
      </w:r>
      <w:r w:rsidR="00DD44A6">
        <w:t>, and is rapidly converted</w:t>
      </w:r>
      <w:r>
        <w:t xml:space="preserve"> to</w:t>
      </w:r>
      <w:r w:rsidR="00DD44A6">
        <w:t xml:space="preserve"> nicotinamide in human blood</w:t>
      </w:r>
      <w:r>
        <w:t>. It is therefore relevant to review the existing Upper Level</w:t>
      </w:r>
      <w:r w:rsidR="00BF5525">
        <w:t xml:space="preserve"> of Intake (UL)</w:t>
      </w:r>
      <w:r>
        <w:t xml:space="preserve"> for </w:t>
      </w:r>
      <w:r w:rsidR="00C57E2A">
        <w:t>Nam</w:t>
      </w:r>
      <w:r>
        <w:t xml:space="preserve"> established by the </w:t>
      </w:r>
      <w:r w:rsidRPr="007F292F">
        <w:t>NHMRC</w:t>
      </w:r>
      <w:r w:rsidR="0032556E">
        <w:t xml:space="preserve"> and N</w:t>
      </w:r>
      <w:r w:rsidR="00592D8E">
        <w:t>Z</w:t>
      </w:r>
      <w:r w:rsidR="0032556E">
        <w:t xml:space="preserve"> MOH</w:t>
      </w:r>
      <w:r>
        <w:t xml:space="preserve"> (</w:t>
      </w:r>
      <w:r w:rsidR="00A50351">
        <w:t>2006</w:t>
      </w:r>
      <w:r>
        <w:t xml:space="preserve">). These are presented in </w:t>
      </w:r>
      <w:r w:rsidRPr="0084099A">
        <w:rPr>
          <w:b/>
        </w:rPr>
        <w:t xml:space="preserve">Table </w:t>
      </w:r>
      <w:r w:rsidR="00EE36FE" w:rsidRPr="0084099A">
        <w:rPr>
          <w:b/>
        </w:rPr>
        <w:t>2</w:t>
      </w:r>
      <w:r w:rsidR="00C20DD2">
        <w:rPr>
          <w:b/>
        </w:rPr>
        <w:t xml:space="preserve"> </w:t>
      </w:r>
      <w:r>
        <w:t xml:space="preserve">. The values represent total intake from all sources. </w:t>
      </w:r>
    </w:p>
    <w:p w14:paraId="0D50FB27" w14:textId="77777777" w:rsidR="00AF2384" w:rsidRDefault="00AF2384" w:rsidP="00AF2384"/>
    <w:tbl>
      <w:tblPr>
        <w:tblStyle w:val="TableGrid"/>
        <w:tblW w:w="0" w:type="auto"/>
        <w:tblLook w:val="04A0" w:firstRow="1" w:lastRow="0" w:firstColumn="1" w:lastColumn="0" w:noHBand="0" w:noVBand="1"/>
      </w:tblPr>
      <w:tblGrid>
        <w:gridCol w:w="2830"/>
        <w:gridCol w:w="1560"/>
        <w:gridCol w:w="4670"/>
      </w:tblGrid>
      <w:tr w:rsidR="00BB14C1" w14:paraId="6456A7EC" w14:textId="77777777" w:rsidTr="0061579F">
        <w:tc>
          <w:tcPr>
            <w:tcW w:w="9060" w:type="dxa"/>
            <w:gridSpan w:val="3"/>
            <w:tcBorders>
              <w:top w:val="nil"/>
              <w:left w:val="nil"/>
              <w:right w:val="nil"/>
            </w:tcBorders>
          </w:tcPr>
          <w:p w14:paraId="60F7E8E0" w14:textId="5F87534C" w:rsidR="00BB14C1" w:rsidRDefault="00BB14C1" w:rsidP="00A501A0">
            <w:pPr>
              <w:rPr>
                <w:b/>
              </w:rPr>
            </w:pPr>
            <w:r w:rsidRPr="00FB67BF">
              <w:rPr>
                <w:b/>
                <w:i/>
              </w:rPr>
              <w:t xml:space="preserve">Table </w:t>
            </w:r>
            <w:r w:rsidR="00EE36FE" w:rsidRPr="00FB67BF">
              <w:rPr>
                <w:b/>
                <w:i/>
              </w:rPr>
              <w:t>2</w:t>
            </w:r>
            <w:r w:rsidRPr="00FB67BF">
              <w:rPr>
                <w:b/>
                <w:i/>
              </w:rPr>
              <w:t>:</w:t>
            </w:r>
            <w:r>
              <w:rPr>
                <w:b/>
              </w:rPr>
              <w:t xml:space="preserve"> Upper Levels of Intake for Niacin as Nicotinamide</w:t>
            </w:r>
          </w:p>
          <w:p w14:paraId="0EB22C35" w14:textId="2BBBDC1C" w:rsidR="00BB14C1" w:rsidRPr="00501CFC" w:rsidRDefault="00BB14C1" w:rsidP="00A501A0">
            <w:pPr>
              <w:rPr>
                <w:b/>
              </w:rPr>
            </w:pPr>
          </w:p>
        </w:tc>
      </w:tr>
      <w:tr w:rsidR="00AF2384" w14:paraId="64CD342F" w14:textId="77777777" w:rsidTr="00A501A0">
        <w:tc>
          <w:tcPr>
            <w:tcW w:w="2830" w:type="dxa"/>
          </w:tcPr>
          <w:p w14:paraId="777A6734" w14:textId="77777777" w:rsidR="00AF2384" w:rsidRPr="00501CFC" w:rsidRDefault="00AF2384" w:rsidP="00A501A0">
            <w:pPr>
              <w:rPr>
                <w:b/>
              </w:rPr>
            </w:pPr>
            <w:r w:rsidRPr="00501CFC">
              <w:rPr>
                <w:b/>
              </w:rPr>
              <w:t>Life stage</w:t>
            </w:r>
          </w:p>
        </w:tc>
        <w:tc>
          <w:tcPr>
            <w:tcW w:w="1560" w:type="dxa"/>
          </w:tcPr>
          <w:p w14:paraId="2DD62AA1" w14:textId="77777777" w:rsidR="00AF2384" w:rsidRPr="00501CFC" w:rsidRDefault="00AF2384" w:rsidP="00A501A0">
            <w:pPr>
              <w:rPr>
                <w:b/>
              </w:rPr>
            </w:pPr>
            <w:r w:rsidRPr="00501CFC">
              <w:rPr>
                <w:b/>
              </w:rPr>
              <w:t>Age</w:t>
            </w:r>
          </w:p>
        </w:tc>
        <w:tc>
          <w:tcPr>
            <w:tcW w:w="4670" w:type="dxa"/>
          </w:tcPr>
          <w:p w14:paraId="0C2E3C55" w14:textId="0E3286A3" w:rsidR="00AF2384" w:rsidRPr="00501CFC" w:rsidRDefault="00AF2384" w:rsidP="00A501A0">
            <w:pPr>
              <w:rPr>
                <w:b/>
              </w:rPr>
            </w:pPr>
            <w:r w:rsidRPr="00501CFC">
              <w:rPr>
                <w:b/>
              </w:rPr>
              <w:t>Upper Level</w:t>
            </w:r>
            <w:r w:rsidR="0032556E">
              <w:rPr>
                <w:b/>
              </w:rPr>
              <w:t xml:space="preserve"> of Intake</w:t>
            </w:r>
          </w:p>
        </w:tc>
      </w:tr>
      <w:tr w:rsidR="00AF2384" w14:paraId="6D8F7EC5" w14:textId="77777777" w:rsidTr="00A501A0">
        <w:tc>
          <w:tcPr>
            <w:tcW w:w="2830" w:type="dxa"/>
          </w:tcPr>
          <w:p w14:paraId="2F57EED4" w14:textId="77777777" w:rsidR="00AF2384" w:rsidRPr="00501CFC" w:rsidRDefault="00AF2384" w:rsidP="00A501A0">
            <w:r w:rsidRPr="00501CFC">
              <w:t>Infants</w:t>
            </w:r>
          </w:p>
        </w:tc>
        <w:tc>
          <w:tcPr>
            <w:tcW w:w="1560" w:type="dxa"/>
          </w:tcPr>
          <w:p w14:paraId="5B72093D" w14:textId="77777777" w:rsidR="00AF2384" w:rsidRPr="00501CFC" w:rsidRDefault="00AF2384" w:rsidP="00A501A0">
            <w:r w:rsidRPr="00501CFC">
              <w:t>0-12 mo</w:t>
            </w:r>
          </w:p>
        </w:tc>
        <w:tc>
          <w:tcPr>
            <w:tcW w:w="4670" w:type="dxa"/>
          </w:tcPr>
          <w:p w14:paraId="40D95B47" w14:textId="77777777" w:rsidR="00AF2384" w:rsidRPr="00501CFC" w:rsidRDefault="00AF2384" w:rsidP="00A501A0">
            <w:r>
              <w:t>Intake should be breastmilk, formula or food only</w:t>
            </w:r>
          </w:p>
        </w:tc>
      </w:tr>
      <w:tr w:rsidR="00AF2384" w14:paraId="0D661396" w14:textId="77777777" w:rsidTr="00A501A0">
        <w:tc>
          <w:tcPr>
            <w:tcW w:w="2830" w:type="dxa"/>
            <w:vMerge w:val="restart"/>
          </w:tcPr>
          <w:p w14:paraId="34FF2C73" w14:textId="77777777" w:rsidR="00AF2384" w:rsidRPr="00501CFC" w:rsidRDefault="00AF2384" w:rsidP="00A501A0">
            <w:r w:rsidRPr="00501CFC">
              <w:t>Children and adolescents</w:t>
            </w:r>
          </w:p>
        </w:tc>
        <w:tc>
          <w:tcPr>
            <w:tcW w:w="1560" w:type="dxa"/>
          </w:tcPr>
          <w:p w14:paraId="3C590C5F" w14:textId="77777777" w:rsidR="00AF2384" w:rsidRPr="00501CFC" w:rsidRDefault="00AF2384" w:rsidP="00A501A0">
            <w:r w:rsidRPr="00501CFC">
              <w:t>1-3 y</w:t>
            </w:r>
          </w:p>
        </w:tc>
        <w:tc>
          <w:tcPr>
            <w:tcW w:w="4670" w:type="dxa"/>
          </w:tcPr>
          <w:p w14:paraId="3F3C7520" w14:textId="77777777" w:rsidR="00AF2384" w:rsidRPr="00501CFC" w:rsidRDefault="00AF2384" w:rsidP="00A501A0">
            <w:r>
              <w:t>150 mg/day</w:t>
            </w:r>
          </w:p>
        </w:tc>
      </w:tr>
      <w:tr w:rsidR="00AF2384" w14:paraId="563F95DD" w14:textId="77777777" w:rsidTr="00A501A0">
        <w:tc>
          <w:tcPr>
            <w:tcW w:w="2830" w:type="dxa"/>
            <w:vMerge/>
          </w:tcPr>
          <w:p w14:paraId="200A157F" w14:textId="77777777" w:rsidR="00AF2384" w:rsidRPr="00501CFC" w:rsidRDefault="00AF2384" w:rsidP="00A501A0"/>
        </w:tc>
        <w:tc>
          <w:tcPr>
            <w:tcW w:w="1560" w:type="dxa"/>
          </w:tcPr>
          <w:p w14:paraId="3DE75EDC" w14:textId="77777777" w:rsidR="00AF2384" w:rsidRPr="00501CFC" w:rsidRDefault="00AF2384" w:rsidP="00A501A0">
            <w:r w:rsidRPr="00501CFC">
              <w:t>4-8 y</w:t>
            </w:r>
          </w:p>
        </w:tc>
        <w:tc>
          <w:tcPr>
            <w:tcW w:w="4670" w:type="dxa"/>
          </w:tcPr>
          <w:p w14:paraId="702F00D3" w14:textId="77777777" w:rsidR="00AF2384" w:rsidRPr="00501CFC" w:rsidRDefault="00AF2384" w:rsidP="00A501A0">
            <w:r>
              <w:t>250 mg/day</w:t>
            </w:r>
          </w:p>
        </w:tc>
      </w:tr>
      <w:tr w:rsidR="00AF2384" w14:paraId="5BF6786A" w14:textId="77777777" w:rsidTr="00A501A0">
        <w:tc>
          <w:tcPr>
            <w:tcW w:w="2830" w:type="dxa"/>
            <w:vMerge/>
          </w:tcPr>
          <w:p w14:paraId="606518D3" w14:textId="77777777" w:rsidR="00AF2384" w:rsidRPr="00501CFC" w:rsidRDefault="00AF2384" w:rsidP="00A501A0"/>
        </w:tc>
        <w:tc>
          <w:tcPr>
            <w:tcW w:w="1560" w:type="dxa"/>
          </w:tcPr>
          <w:p w14:paraId="217632D1" w14:textId="77777777" w:rsidR="00AF2384" w:rsidRPr="00501CFC" w:rsidRDefault="00AF2384" w:rsidP="00A501A0">
            <w:r w:rsidRPr="00501CFC">
              <w:t>9-13 y</w:t>
            </w:r>
          </w:p>
        </w:tc>
        <w:tc>
          <w:tcPr>
            <w:tcW w:w="4670" w:type="dxa"/>
          </w:tcPr>
          <w:p w14:paraId="4E883F70" w14:textId="77777777" w:rsidR="00AF2384" w:rsidRPr="00501CFC" w:rsidRDefault="00AF2384" w:rsidP="00A501A0">
            <w:r>
              <w:t>500 mg/day</w:t>
            </w:r>
          </w:p>
        </w:tc>
      </w:tr>
      <w:tr w:rsidR="00AF2384" w14:paraId="78BD6969" w14:textId="77777777" w:rsidTr="00A501A0">
        <w:tc>
          <w:tcPr>
            <w:tcW w:w="2830" w:type="dxa"/>
            <w:vMerge/>
          </w:tcPr>
          <w:p w14:paraId="19765459" w14:textId="77777777" w:rsidR="00AF2384" w:rsidRPr="00501CFC" w:rsidRDefault="00AF2384" w:rsidP="00A501A0"/>
        </w:tc>
        <w:tc>
          <w:tcPr>
            <w:tcW w:w="1560" w:type="dxa"/>
          </w:tcPr>
          <w:p w14:paraId="6B8EAC00" w14:textId="77777777" w:rsidR="00AF2384" w:rsidRPr="00501CFC" w:rsidRDefault="00AF2384" w:rsidP="00A501A0">
            <w:r w:rsidRPr="00501CFC">
              <w:t>14-18 y</w:t>
            </w:r>
          </w:p>
        </w:tc>
        <w:tc>
          <w:tcPr>
            <w:tcW w:w="4670" w:type="dxa"/>
          </w:tcPr>
          <w:p w14:paraId="5B697BC0" w14:textId="77777777" w:rsidR="00AF2384" w:rsidRPr="00501CFC" w:rsidRDefault="00AF2384" w:rsidP="00A501A0">
            <w:r>
              <w:t>750 mg/day</w:t>
            </w:r>
          </w:p>
        </w:tc>
      </w:tr>
      <w:tr w:rsidR="00AF2384" w14:paraId="68CD6713" w14:textId="77777777" w:rsidTr="00A501A0">
        <w:tc>
          <w:tcPr>
            <w:tcW w:w="2830" w:type="dxa"/>
            <w:vMerge w:val="restart"/>
          </w:tcPr>
          <w:p w14:paraId="1581DA3B" w14:textId="77777777" w:rsidR="00AF2384" w:rsidRPr="00501CFC" w:rsidRDefault="00AF2384" w:rsidP="00A501A0">
            <w:r w:rsidRPr="00501CFC">
              <w:t>Adults</w:t>
            </w:r>
          </w:p>
        </w:tc>
        <w:tc>
          <w:tcPr>
            <w:tcW w:w="1560" w:type="dxa"/>
          </w:tcPr>
          <w:p w14:paraId="319DD14B" w14:textId="77777777" w:rsidR="00AF2384" w:rsidRPr="00501CFC" w:rsidRDefault="00AF2384" w:rsidP="00A501A0">
            <w:r w:rsidRPr="00501CFC">
              <w:t xml:space="preserve">Men </w:t>
            </w:r>
            <w:r w:rsidRPr="00501CFC">
              <w:rPr>
                <w:rFonts w:cs="Arial"/>
              </w:rPr>
              <w:t>≥</w:t>
            </w:r>
            <w:r w:rsidRPr="00501CFC">
              <w:t>19 y</w:t>
            </w:r>
          </w:p>
        </w:tc>
        <w:tc>
          <w:tcPr>
            <w:tcW w:w="4670" w:type="dxa"/>
          </w:tcPr>
          <w:p w14:paraId="0E72E525" w14:textId="77777777" w:rsidR="00AF2384" w:rsidRPr="00501CFC" w:rsidRDefault="00AF2384" w:rsidP="00A501A0">
            <w:r>
              <w:t>900 mg/day</w:t>
            </w:r>
          </w:p>
        </w:tc>
      </w:tr>
      <w:tr w:rsidR="00AF2384" w14:paraId="44D0F503" w14:textId="77777777" w:rsidTr="00A501A0">
        <w:tc>
          <w:tcPr>
            <w:tcW w:w="2830" w:type="dxa"/>
            <w:vMerge/>
          </w:tcPr>
          <w:p w14:paraId="2AF82B4E" w14:textId="77777777" w:rsidR="00AF2384" w:rsidRPr="00501CFC" w:rsidRDefault="00AF2384" w:rsidP="00A501A0"/>
        </w:tc>
        <w:tc>
          <w:tcPr>
            <w:tcW w:w="1560" w:type="dxa"/>
          </w:tcPr>
          <w:p w14:paraId="0DA21C4A" w14:textId="77777777" w:rsidR="00AF2384" w:rsidRPr="00501CFC" w:rsidRDefault="00AF2384" w:rsidP="00A501A0">
            <w:r w:rsidRPr="00501CFC">
              <w:t xml:space="preserve">Women </w:t>
            </w:r>
            <w:r w:rsidRPr="00501CFC">
              <w:rPr>
                <w:rFonts w:cs="Arial"/>
              </w:rPr>
              <w:t>≥</w:t>
            </w:r>
            <w:r w:rsidRPr="00501CFC">
              <w:t>19y</w:t>
            </w:r>
          </w:p>
        </w:tc>
        <w:tc>
          <w:tcPr>
            <w:tcW w:w="4670" w:type="dxa"/>
          </w:tcPr>
          <w:p w14:paraId="1F240B44" w14:textId="77777777" w:rsidR="00AF2384" w:rsidRPr="00501CFC" w:rsidRDefault="00AF2384" w:rsidP="00A501A0">
            <w:r>
              <w:t>900 mg/day</w:t>
            </w:r>
          </w:p>
        </w:tc>
      </w:tr>
      <w:tr w:rsidR="00AF2384" w14:paraId="508D8313" w14:textId="77777777" w:rsidTr="00A501A0">
        <w:tc>
          <w:tcPr>
            <w:tcW w:w="2830" w:type="dxa"/>
            <w:vMerge w:val="restart"/>
          </w:tcPr>
          <w:p w14:paraId="1F544E9B" w14:textId="77777777" w:rsidR="00AF2384" w:rsidRPr="00501CFC" w:rsidRDefault="00AF2384" w:rsidP="00A501A0">
            <w:r w:rsidRPr="00501CFC">
              <w:t>Pregnant women</w:t>
            </w:r>
          </w:p>
        </w:tc>
        <w:tc>
          <w:tcPr>
            <w:tcW w:w="1560" w:type="dxa"/>
          </w:tcPr>
          <w:p w14:paraId="005853F9" w14:textId="77777777" w:rsidR="00AF2384" w:rsidRPr="00501CFC" w:rsidRDefault="00AF2384" w:rsidP="00A501A0">
            <w:r w:rsidRPr="00501CFC">
              <w:t>14-18 y</w:t>
            </w:r>
          </w:p>
        </w:tc>
        <w:tc>
          <w:tcPr>
            <w:tcW w:w="4670" w:type="dxa"/>
            <w:vMerge w:val="restart"/>
          </w:tcPr>
          <w:p w14:paraId="579A2BC2" w14:textId="77777777" w:rsidR="00AF2384" w:rsidRPr="00501CFC" w:rsidRDefault="00AF2384" w:rsidP="00A501A0">
            <w:r>
              <w:t>Not possible to establish, should be dietary only</w:t>
            </w:r>
          </w:p>
        </w:tc>
      </w:tr>
      <w:tr w:rsidR="00AF2384" w14:paraId="21B03F2C" w14:textId="77777777" w:rsidTr="00A501A0">
        <w:tc>
          <w:tcPr>
            <w:tcW w:w="2830" w:type="dxa"/>
            <w:vMerge/>
          </w:tcPr>
          <w:p w14:paraId="5FEA50B5" w14:textId="77777777" w:rsidR="00AF2384" w:rsidRPr="00501CFC" w:rsidRDefault="00AF2384" w:rsidP="00A501A0"/>
        </w:tc>
        <w:tc>
          <w:tcPr>
            <w:tcW w:w="1560" w:type="dxa"/>
          </w:tcPr>
          <w:p w14:paraId="3B2723AB" w14:textId="77777777" w:rsidR="00AF2384" w:rsidRPr="00501CFC" w:rsidRDefault="00AF2384" w:rsidP="00A501A0">
            <w:r w:rsidRPr="00501CFC">
              <w:t>19-50 y</w:t>
            </w:r>
          </w:p>
        </w:tc>
        <w:tc>
          <w:tcPr>
            <w:tcW w:w="4670" w:type="dxa"/>
            <w:vMerge/>
          </w:tcPr>
          <w:p w14:paraId="679030E2" w14:textId="77777777" w:rsidR="00AF2384" w:rsidRPr="00501CFC" w:rsidRDefault="00AF2384" w:rsidP="00A501A0"/>
        </w:tc>
      </w:tr>
      <w:tr w:rsidR="00AF2384" w14:paraId="169BB94F" w14:textId="77777777" w:rsidTr="00A501A0">
        <w:tc>
          <w:tcPr>
            <w:tcW w:w="2830" w:type="dxa"/>
            <w:vMerge w:val="restart"/>
          </w:tcPr>
          <w:p w14:paraId="01743223" w14:textId="77777777" w:rsidR="00AF2384" w:rsidRPr="00501CFC" w:rsidRDefault="00AF2384" w:rsidP="00A501A0">
            <w:r w:rsidRPr="00501CFC">
              <w:t>Lactating women</w:t>
            </w:r>
          </w:p>
        </w:tc>
        <w:tc>
          <w:tcPr>
            <w:tcW w:w="1560" w:type="dxa"/>
          </w:tcPr>
          <w:p w14:paraId="61B41033" w14:textId="77777777" w:rsidR="00AF2384" w:rsidRPr="00501CFC" w:rsidRDefault="00AF2384" w:rsidP="00A501A0">
            <w:r w:rsidRPr="00501CFC">
              <w:t>14-18 y</w:t>
            </w:r>
          </w:p>
        </w:tc>
        <w:tc>
          <w:tcPr>
            <w:tcW w:w="4670" w:type="dxa"/>
            <w:vMerge w:val="restart"/>
          </w:tcPr>
          <w:p w14:paraId="53DE6A2A" w14:textId="77777777" w:rsidR="00AF2384" w:rsidRPr="00501CFC" w:rsidRDefault="00AF2384" w:rsidP="00A501A0">
            <w:r w:rsidRPr="00501CFC">
              <w:t>Not possible to establish, should be dietary only</w:t>
            </w:r>
          </w:p>
        </w:tc>
      </w:tr>
      <w:tr w:rsidR="00AF2384" w14:paraId="47EF37C6" w14:textId="77777777" w:rsidTr="00A501A0">
        <w:tc>
          <w:tcPr>
            <w:tcW w:w="2830" w:type="dxa"/>
            <w:vMerge/>
          </w:tcPr>
          <w:p w14:paraId="6F20BC53" w14:textId="77777777" w:rsidR="00AF2384" w:rsidRPr="00501CFC" w:rsidRDefault="00AF2384" w:rsidP="00A501A0"/>
        </w:tc>
        <w:tc>
          <w:tcPr>
            <w:tcW w:w="1560" w:type="dxa"/>
          </w:tcPr>
          <w:p w14:paraId="55E5B7EF" w14:textId="77777777" w:rsidR="00AF2384" w:rsidRPr="00501CFC" w:rsidRDefault="00AF2384" w:rsidP="00A501A0">
            <w:r w:rsidRPr="00501CFC">
              <w:t>19-50 y</w:t>
            </w:r>
          </w:p>
        </w:tc>
        <w:tc>
          <w:tcPr>
            <w:tcW w:w="4670" w:type="dxa"/>
            <w:vMerge/>
          </w:tcPr>
          <w:p w14:paraId="68CE285C" w14:textId="77777777" w:rsidR="00AF2384" w:rsidRPr="00501CFC" w:rsidRDefault="00AF2384" w:rsidP="00A501A0"/>
        </w:tc>
      </w:tr>
    </w:tbl>
    <w:p w14:paraId="3F3B856A" w14:textId="77777777" w:rsidR="00AF2384" w:rsidRDefault="00AF2384" w:rsidP="00AF2384">
      <w:pPr>
        <w:autoSpaceDE w:val="0"/>
        <w:autoSpaceDN w:val="0"/>
        <w:adjustRightInd w:val="0"/>
        <w:rPr>
          <w:i/>
        </w:rPr>
      </w:pPr>
    </w:p>
    <w:p w14:paraId="697A0F38" w14:textId="2BF3F1C5" w:rsidR="00AF2384" w:rsidRDefault="00AF2384" w:rsidP="00AF2384">
      <w:pPr>
        <w:autoSpaceDE w:val="0"/>
        <w:autoSpaceDN w:val="0"/>
        <w:adjustRightInd w:val="0"/>
      </w:pPr>
      <w:r>
        <w:t xml:space="preserve">The UL for </w:t>
      </w:r>
      <w:r w:rsidR="00C57E2A">
        <w:t>Nam</w:t>
      </w:r>
      <w:r>
        <w:t xml:space="preserve"> of 900 mg/day set for adults by the NHMRC </w:t>
      </w:r>
      <w:r w:rsidR="0032556E">
        <w:t>and N</w:t>
      </w:r>
      <w:r w:rsidR="00592D8E">
        <w:t>Z</w:t>
      </w:r>
      <w:r w:rsidR="0032556E">
        <w:t xml:space="preserve"> MOH </w:t>
      </w:r>
      <w:r>
        <w:t xml:space="preserve">is based on recommendations made by the European Commission in 2002. The NHMRC </w:t>
      </w:r>
      <w:r w:rsidR="0032556E">
        <w:t>and N</w:t>
      </w:r>
      <w:r w:rsidR="00592D8E">
        <w:t>Z</w:t>
      </w:r>
      <w:r w:rsidR="0032556E">
        <w:t xml:space="preserve"> MOH </w:t>
      </w:r>
      <w:r>
        <w:t xml:space="preserve">commented that </w:t>
      </w:r>
      <w:r w:rsidR="00C57E2A">
        <w:t>Nam</w:t>
      </w:r>
      <w:r>
        <w:t xml:space="preserve"> is generally well tolerated at up to 3000 mg/day for periods up to 3 years. The UL is based on a NOAEL of 1800 mg/day in a number of high quality of trials, with the application of an Uncertainty Factor of 2 because the trials were largely conducted in children, and adults may not metabolise </w:t>
      </w:r>
      <w:r w:rsidR="00C57E2A">
        <w:t>Nam</w:t>
      </w:r>
      <w:r>
        <w:t xml:space="preserve"> as rapidly as children do, and may exhibit greater inter</w:t>
      </w:r>
      <w:r w:rsidR="004941EA">
        <w:t>-</w:t>
      </w:r>
      <w:r>
        <w:t>individual variability. The N</w:t>
      </w:r>
      <w:r w:rsidR="008E5D07">
        <w:t>H</w:t>
      </w:r>
      <w:r>
        <w:t>MRC</w:t>
      </w:r>
      <w:r w:rsidR="0032556E">
        <w:t xml:space="preserve"> and N</w:t>
      </w:r>
      <w:r w:rsidR="00592D8E">
        <w:t>Z</w:t>
      </w:r>
      <w:r w:rsidR="0032556E">
        <w:t xml:space="preserve"> MOH</w:t>
      </w:r>
      <w:r>
        <w:t xml:space="preserve"> did not set ULs for pregnant or lactating women, because of a lack of data in human</w:t>
      </w:r>
      <w:r w:rsidR="00911E33">
        <w:t>s</w:t>
      </w:r>
      <w:r w:rsidDel="00911E33">
        <w:t xml:space="preserve"> </w:t>
      </w:r>
      <w:r>
        <w:t xml:space="preserve">or in animals. The basis for the ULs for children and adolescents are not stated, but it appears that the adult ULs were extrapolated from trials in children, on the basis of bodyweight. </w:t>
      </w:r>
    </w:p>
    <w:p w14:paraId="0AA6BDC6" w14:textId="77777777" w:rsidR="00AF2384" w:rsidRPr="00295026" w:rsidRDefault="00AF2384" w:rsidP="00AF2384">
      <w:pPr>
        <w:autoSpaceDE w:val="0"/>
        <w:autoSpaceDN w:val="0"/>
        <w:adjustRightInd w:val="0"/>
      </w:pPr>
      <w:r>
        <w:t xml:space="preserve"> </w:t>
      </w:r>
    </w:p>
    <w:p w14:paraId="3ECBDB68" w14:textId="77777777" w:rsidR="00AF2384" w:rsidRPr="007730F9" w:rsidRDefault="00AF2384" w:rsidP="00AF2384">
      <w:pPr>
        <w:rPr>
          <w:i/>
        </w:rPr>
      </w:pPr>
      <w:r w:rsidRPr="007730F9">
        <w:rPr>
          <w:i/>
        </w:rPr>
        <w:t>EFSA</w:t>
      </w:r>
    </w:p>
    <w:p w14:paraId="2DAD0B96" w14:textId="77777777" w:rsidR="00AF2384" w:rsidRDefault="00AF2384" w:rsidP="00AF2384"/>
    <w:p w14:paraId="62A2350F" w14:textId="66530B42" w:rsidR="00AF2384" w:rsidRDefault="00B91F18" w:rsidP="00AF2384">
      <w:r>
        <w:t>NRC</w:t>
      </w:r>
      <w:r w:rsidR="00AF2384">
        <w:t xml:space="preserve"> has been assessed as a novel food </w:t>
      </w:r>
      <w:r w:rsidR="00F00106">
        <w:t>for use in food supplements</w:t>
      </w:r>
      <w:r w:rsidR="00AF2384">
        <w:t xml:space="preserve"> for consumption by the healthy adult population, at up to 300 mg/day, by the EFSA Panel on Nutrition, Novel foods and Food allergens (NDA) (</w:t>
      </w:r>
      <w:r w:rsidR="00AF2384" w:rsidRPr="00FB7D90">
        <w:t>EFSA 2019</w:t>
      </w:r>
      <w:r w:rsidR="00AF2384">
        <w:t xml:space="preserve">). The Panel found no safety concerns associated with the production process, composition, specifications, batch-to batch variability or stability of </w:t>
      </w:r>
      <w:r>
        <w:t>NRC</w:t>
      </w:r>
      <w:r w:rsidR="00AF2384">
        <w:t xml:space="preserve">, and also concluded that there are no concerns regarding genotoxicity. There were no safety concerns raised by the human data. The Panel noted that the proposed level of use corresponds to a daily dose of </w:t>
      </w:r>
      <w:r w:rsidR="00C57E2A">
        <w:t>Nam</w:t>
      </w:r>
      <w:r w:rsidR="00AF2384">
        <w:t xml:space="preserve"> that is six-fold lower than the tolerable upper intake level </w:t>
      </w:r>
      <w:r w:rsidR="00AF2384" w:rsidRPr="007C0F27">
        <w:t>for adults, excluding pregnant and lactating women</w:t>
      </w:r>
      <w:r w:rsidR="00AF2384">
        <w:t>,</w:t>
      </w:r>
      <w:r w:rsidR="00AF2384" w:rsidRPr="007C0F27">
        <w:t xml:space="preserve"> </w:t>
      </w:r>
      <w:r w:rsidR="00AF2384">
        <w:t xml:space="preserve">of 900 mg </w:t>
      </w:r>
      <w:r w:rsidR="00C57E2A">
        <w:t>Nam</w:t>
      </w:r>
      <w:r w:rsidR="00AF2384">
        <w:t xml:space="preserve">/day set by the Scientific Committee on Food </w:t>
      </w:r>
      <w:r w:rsidR="00C57E2A">
        <w:t xml:space="preserve">(SCF) </w:t>
      </w:r>
      <w:r w:rsidR="00AF2384">
        <w:t xml:space="preserve">in 2002. The SCF did not establish a UL for </w:t>
      </w:r>
      <w:r w:rsidR="00C57E2A">
        <w:t>Nam</w:t>
      </w:r>
      <w:r w:rsidR="00AF2384">
        <w:t xml:space="preserve"> in pregnant or lactating women, due to a lack of data. </w:t>
      </w:r>
    </w:p>
    <w:p w14:paraId="03DA69CD" w14:textId="77777777" w:rsidR="00AF2384" w:rsidRDefault="00AF2384" w:rsidP="00AF2384"/>
    <w:p w14:paraId="6D199FC8" w14:textId="16AA98DE" w:rsidR="00AF2384" w:rsidRDefault="00AF2384" w:rsidP="00AF2384">
      <w:r>
        <w:t xml:space="preserve">The Panel derived a NOAEL of 300 mg/kg bw/day from animal data, </w:t>
      </w:r>
      <w:r w:rsidRPr="00045C4F">
        <w:t xml:space="preserve">specifically the </w:t>
      </w:r>
      <w:r w:rsidRPr="005A4C20">
        <w:t>90-</w:t>
      </w:r>
      <w:r>
        <w:t xml:space="preserve">day repeat-dose study in rats (Bhoite </w:t>
      </w:r>
      <w:r w:rsidRPr="00982FCD">
        <w:rPr>
          <w:i/>
        </w:rPr>
        <w:t>et a</w:t>
      </w:r>
      <w:r>
        <w:t xml:space="preserve">l 2015, Conze </w:t>
      </w:r>
      <w:r w:rsidRPr="00982FCD">
        <w:rPr>
          <w:i/>
        </w:rPr>
        <w:t>et al</w:t>
      </w:r>
      <w:r>
        <w:t xml:space="preserve"> 2016) summari</w:t>
      </w:r>
      <w:r w:rsidR="00A950FA">
        <w:t>s</w:t>
      </w:r>
      <w:r>
        <w:t xml:space="preserve">ed </w:t>
      </w:r>
      <w:r w:rsidR="0051459E">
        <w:t>in Sections</w:t>
      </w:r>
      <w:r>
        <w:t xml:space="preserve"> </w:t>
      </w:r>
      <w:r w:rsidR="0051459E">
        <w:t>3.3.1 and 3.3.3</w:t>
      </w:r>
      <w:r>
        <w:t xml:space="preserve">. The Margin of Exposure (MoE) between the proposed maximum daily dose of 300 mg (= 4.3 mg/kg bw/day for a 70 kg adult) and the NOAEL of 300 mg/kg bw/day is 70, which the Panel considered to be sufficient for the adult population, excluding pregnant and lactating women. </w:t>
      </w:r>
    </w:p>
    <w:p w14:paraId="0B13B259" w14:textId="77777777" w:rsidR="00AF2384" w:rsidRDefault="00AF2384" w:rsidP="00AF2384"/>
    <w:p w14:paraId="757105D5" w14:textId="712055EE" w:rsidR="00AF2384" w:rsidRPr="00AF2384" w:rsidRDefault="00AF2384" w:rsidP="00AF2384">
      <w:pPr>
        <w:rPr>
          <w:lang w:bidi="ar-SA"/>
        </w:rPr>
      </w:pPr>
      <w:r>
        <w:t>For maternal and embryo/fetal toxicity</w:t>
      </w:r>
      <w:r w:rsidR="0032556E">
        <w:t xml:space="preserve">, the Panel derived a NOAEL of </w:t>
      </w:r>
      <w:r>
        <w:t xml:space="preserve">325 mg/kg bw/day from the developmental toxicity study of Rao (2016) summarized in </w:t>
      </w:r>
      <w:r w:rsidR="00982FCD">
        <w:t>S</w:t>
      </w:r>
      <w:r>
        <w:t xml:space="preserve">ection </w:t>
      </w:r>
      <w:r w:rsidR="00982FCD">
        <w:t>3.3.6</w:t>
      </w:r>
      <w:r>
        <w:t>, above. The MoE between the proposed maximum daily dose of 300 mg (= 4.3 mg/kg bw in a 70 kg adult) and the NOAEL from the Rao (2016) study is 76. In the absence of data that would justify accepting a MoE less than 100 for pregnant and lactating women, the Panel concluded that daily intake of N</w:t>
      </w:r>
      <w:r w:rsidR="00DF6541">
        <w:t>RC</w:t>
      </w:r>
      <w:r>
        <w:t xml:space="preserve"> by pregnant and lactating women should not exceed 230</w:t>
      </w:r>
      <w:r w:rsidR="0032556E">
        <w:t> </w:t>
      </w:r>
      <w:r>
        <w:t xml:space="preserve">mg/day. </w:t>
      </w:r>
    </w:p>
    <w:p w14:paraId="57340385" w14:textId="4A96764E" w:rsidR="00680F32" w:rsidRPr="00F900C0" w:rsidRDefault="00D77D32" w:rsidP="00533BF1">
      <w:pPr>
        <w:pStyle w:val="Heading2"/>
      </w:pPr>
      <w:bookmarkStart w:id="447" w:name="_Toc65509080"/>
      <w:bookmarkStart w:id="448" w:name="_Toc65578817"/>
      <w:bookmarkStart w:id="449" w:name="_Toc65587211"/>
      <w:bookmarkStart w:id="450" w:name="_Toc65587181"/>
      <w:bookmarkStart w:id="451" w:name="_Toc65682791"/>
      <w:bookmarkStart w:id="452" w:name="_Toc65764332"/>
      <w:bookmarkStart w:id="453" w:name="_Toc65764665"/>
      <w:bookmarkStart w:id="454" w:name="_Toc65841234"/>
      <w:bookmarkStart w:id="455" w:name="_Toc66443249"/>
      <w:bookmarkStart w:id="456" w:name="_Toc66436805"/>
      <w:bookmarkStart w:id="457" w:name="_Toc66458157"/>
      <w:bookmarkStart w:id="458" w:name="_Toc66451431"/>
      <w:bookmarkStart w:id="459" w:name="_Toc66458824"/>
      <w:bookmarkStart w:id="460" w:name="_Toc66458957"/>
      <w:bookmarkStart w:id="461" w:name="_Toc66461652"/>
      <w:bookmarkStart w:id="462" w:name="_Toc69899760"/>
      <w:r>
        <w:t>Discussion and conclusion</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0F8BEF46" w14:textId="77777777" w:rsidR="000C7CE1" w:rsidRDefault="008E3B90" w:rsidP="008E3B90">
      <w:r w:rsidRPr="005F7EB9">
        <w:t>The acu</w:t>
      </w:r>
      <w:r w:rsidR="0038478F">
        <w:t>te oral toxicity</w:t>
      </w:r>
      <w:r w:rsidRPr="005F7EB9">
        <w:t xml:space="preserve"> of </w:t>
      </w:r>
      <w:r w:rsidR="00B91F18">
        <w:t>NRC</w:t>
      </w:r>
      <w:r w:rsidRPr="005F7EB9">
        <w:t xml:space="preserve"> is low, </w:t>
      </w:r>
      <w:r w:rsidR="00C045F4">
        <w:t xml:space="preserve">with </w:t>
      </w:r>
      <w:r w:rsidRPr="005F7EB9">
        <w:t xml:space="preserve">the </w:t>
      </w:r>
      <w:r w:rsidR="00C045F4">
        <w:t>oral LD</w:t>
      </w:r>
      <w:r w:rsidR="00C045F4" w:rsidRPr="00C045F4">
        <w:rPr>
          <w:vertAlign w:val="subscript"/>
        </w:rPr>
        <w:t>50</w:t>
      </w:r>
      <w:r w:rsidR="00C045F4">
        <w:t xml:space="preserve"> greater than </w:t>
      </w:r>
      <w:r w:rsidRPr="005F7EB9">
        <w:t>5000 mg/kg bw in the Sprague Dawley rat.</w:t>
      </w:r>
      <w:r>
        <w:t xml:space="preserve"> </w:t>
      </w:r>
    </w:p>
    <w:p w14:paraId="324DF957" w14:textId="77777777" w:rsidR="000C7CE1" w:rsidRDefault="000C7CE1" w:rsidP="008E3B90"/>
    <w:p w14:paraId="16A2F6C9" w14:textId="7F0A6C05" w:rsidR="00A950FA" w:rsidRDefault="008E3B90" w:rsidP="008E3B90">
      <w:r>
        <w:t xml:space="preserve">Oral gavage with </w:t>
      </w:r>
      <w:r>
        <w:rPr>
          <w:rFonts w:cs="Arial"/>
        </w:rPr>
        <w:t>≥</w:t>
      </w:r>
      <w:r>
        <w:t xml:space="preserve">2500 mg/kg bw/day for </w:t>
      </w:r>
      <w:r>
        <w:rPr>
          <w:rFonts w:cs="Arial"/>
        </w:rPr>
        <w:t>≥</w:t>
      </w:r>
      <w:r>
        <w:t xml:space="preserve">8 days was associated with moderate decreases in group mean bodyweights of male Sprague Dawley rats, but not females, in a 14-day study. No adverse effects were observed in Sprague Dawley rats gavaged with </w:t>
      </w:r>
      <w:r w:rsidR="00B91F18">
        <w:t>NRC</w:t>
      </w:r>
      <w:r>
        <w:t xml:space="preserve"> at 300 mg/kg bw/day for 90 days, but at 1000 mg/kg bw/day, </w:t>
      </w:r>
      <w:r w:rsidR="000C4319">
        <w:t>statistically significant alterations</w:t>
      </w:r>
      <w:r>
        <w:t xml:space="preserve"> were observed in some clinical pathology parameters, including an increase in neutrophils, </w:t>
      </w:r>
      <w:r w:rsidR="000C4319">
        <w:t>ALT</w:t>
      </w:r>
      <w:r>
        <w:t xml:space="preserve">, and triglycerides. At 3000 </w:t>
      </w:r>
      <w:r>
        <w:lastRenderedPageBreak/>
        <w:t xml:space="preserve">mg/kg bw/day </w:t>
      </w:r>
      <w:r w:rsidR="00B91F18">
        <w:t>NRC</w:t>
      </w:r>
      <w:r>
        <w:t xml:space="preserve">, significant adverse effects were observed in the same parameters and in some organ weights, and a number of microscopic lesions were observed in liver, thyroid, kidneys, adrenals and gonads, but the same adverse changes occurred in a positive control group of rats treated with an equimolar dose of </w:t>
      </w:r>
      <w:r w:rsidR="00C57E2A">
        <w:t>Nam</w:t>
      </w:r>
      <w:r>
        <w:t xml:space="preserve"> (1260 mg/kg bw/day). </w:t>
      </w:r>
    </w:p>
    <w:p w14:paraId="3DB40863" w14:textId="2F27FD16" w:rsidR="008E3B90" w:rsidRDefault="008E3B90" w:rsidP="008E3B90"/>
    <w:p w14:paraId="58AA8F7A" w14:textId="240BE6A5" w:rsidR="00A950FA" w:rsidRDefault="00A950FA" w:rsidP="008E3B90">
      <w:r>
        <w:t xml:space="preserve">Additional animal studies were provided for assessment but cannot be disclosed </w:t>
      </w:r>
      <w:r>
        <w:rPr>
          <w:rFonts w:cs="Arial"/>
        </w:rPr>
        <w:t xml:space="preserve">because it is </w:t>
      </w:r>
      <w:r w:rsidR="00EC6B49">
        <w:rPr>
          <w:rFonts w:cs="Arial"/>
        </w:rPr>
        <w:t xml:space="preserve">CCI. </w:t>
      </w:r>
      <w:r w:rsidRPr="004E0B3A">
        <w:rPr>
          <w:rFonts w:cs="Arial"/>
        </w:rPr>
        <w:t xml:space="preserve">The toxicological assessment </w:t>
      </w:r>
      <w:r w:rsidR="00EC6B49">
        <w:rPr>
          <w:rFonts w:cs="Arial"/>
        </w:rPr>
        <w:t>supports a</w:t>
      </w:r>
      <w:r w:rsidRPr="004E0B3A">
        <w:rPr>
          <w:rFonts w:cs="Arial"/>
        </w:rPr>
        <w:t xml:space="preserve"> </w:t>
      </w:r>
      <w:r w:rsidRPr="004E0B3A">
        <w:t>NOAEL of 300 mg/kg bw/day.</w:t>
      </w:r>
    </w:p>
    <w:p w14:paraId="69504477" w14:textId="69A87966" w:rsidR="00A950FA" w:rsidRDefault="00A950FA" w:rsidP="008E3B90"/>
    <w:p w14:paraId="2D7B7EBF" w14:textId="5E864039" w:rsidR="008E3B90" w:rsidRPr="0051459E" w:rsidRDefault="008E3B90" w:rsidP="008E3B90">
      <w:r>
        <w:t xml:space="preserve">No chronic toxicity/carcinogenicity studies of </w:t>
      </w:r>
      <w:r w:rsidR="00B91F18">
        <w:t>NRC</w:t>
      </w:r>
      <w:r>
        <w:t xml:space="preserve"> were submitted or located from other sources, but </w:t>
      </w:r>
      <w:r w:rsidR="00B91F18">
        <w:t>NRC</w:t>
      </w:r>
      <w:r>
        <w:t xml:space="preserve"> did not show evidence of genotoxicity in a </w:t>
      </w:r>
      <w:r w:rsidR="000C7CE1">
        <w:t xml:space="preserve">number </w:t>
      </w:r>
      <w:r>
        <w:t xml:space="preserve">of genotoxicity assays, and is rapidly metabolised to </w:t>
      </w:r>
      <w:r w:rsidR="00C045F4">
        <w:t>Nam</w:t>
      </w:r>
      <w:r>
        <w:t xml:space="preserve">. In rats, treatment with 3000 mg/kg bw/day </w:t>
      </w:r>
      <w:r w:rsidR="00B91F18">
        <w:t>NRC</w:t>
      </w:r>
      <w:r>
        <w:t xml:space="preserve"> was associated with hypertrophic, but not hyperplastic, changes in some organs including liver, </w:t>
      </w:r>
      <w:r w:rsidRPr="0051459E">
        <w:t xml:space="preserve">thyroid, and adrenal cortex (specifically, zona glomerulosa). However, treatment with an equimolar dose of </w:t>
      </w:r>
      <w:r w:rsidR="00C045F4">
        <w:t>Nam</w:t>
      </w:r>
      <w:r w:rsidRPr="0051459E">
        <w:t xml:space="preserve"> had the same effects. </w:t>
      </w:r>
    </w:p>
    <w:p w14:paraId="75BA352F" w14:textId="77777777" w:rsidR="008E3B90" w:rsidRPr="0051459E" w:rsidRDefault="008E3B90" w:rsidP="008E3B90"/>
    <w:p w14:paraId="5B289610" w14:textId="575CBEA0" w:rsidR="008E3B90" w:rsidRDefault="008E3B90" w:rsidP="008E3B90">
      <w:r w:rsidRPr="0051459E">
        <w:t xml:space="preserve">No developmental toxicity was observed in rat pups at doses of </w:t>
      </w:r>
      <w:r w:rsidR="00B91F18">
        <w:t>NRC</w:t>
      </w:r>
      <w:r w:rsidRPr="0051459E">
        <w:t xml:space="preserve"> below that causing maternal toxicity. </w:t>
      </w:r>
      <w:r w:rsidR="00482297">
        <w:t>T</w:t>
      </w:r>
      <w:r w:rsidR="00482297" w:rsidRPr="00482297">
        <w:t>he fetal NOAEL was identified as 750 mg/kg bw/day on the basis of decreased fetal bodyweights at 1500 mg/kg bw/day, together with increases in the incidence of abnormalities commonly observed in association with maternal toxicity. In a one-generation reproductive study in rats, the NOAEL for fertility and reproductive performance was 12 000 ppm in the parental diet, the highest dose tested, equivalent to 675.2 mg/kg bw/day NRC in P generation males and 1088.4 mg/kg bw/day NRC in P generation females.</w:t>
      </w:r>
    </w:p>
    <w:p w14:paraId="3F11CC90" w14:textId="35B8467E" w:rsidR="008E3B90" w:rsidRDefault="008E3B90" w:rsidP="008E3B90">
      <w:r>
        <w:t xml:space="preserve">In human tolerance studies of up to 12 weeks in duration, </w:t>
      </w:r>
      <w:r w:rsidR="00B91F18">
        <w:t>NRC</w:t>
      </w:r>
      <w:r>
        <w:t xml:space="preserve"> was well tolerated at doses up to 2000 mg/day, a level exceeding the UL for </w:t>
      </w:r>
      <w:r w:rsidR="00C045F4">
        <w:t>Nam</w:t>
      </w:r>
      <w:r>
        <w:t xml:space="preserve"> set by the NHMRC </w:t>
      </w:r>
      <w:r w:rsidR="005D2B6D">
        <w:t>and NZ MOH</w:t>
      </w:r>
      <w:r>
        <w:t xml:space="preserve"> for adults. </w:t>
      </w:r>
    </w:p>
    <w:p w14:paraId="28E1879B" w14:textId="77777777" w:rsidR="008E3B90" w:rsidRDefault="008E3B90" w:rsidP="008E3B90"/>
    <w:p w14:paraId="6F1C103C" w14:textId="0B714557" w:rsidR="008E3B90" w:rsidRDefault="008E3B90" w:rsidP="008E3B90">
      <w:r>
        <w:t xml:space="preserve">No case reports of allergic reactions to </w:t>
      </w:r>
      <w:r w:rsidR="00B91F18">
        <w:t>NRC</w:t>
      </w:r>
      <w:r>
        <w:t xml:space="preserve"> were located by literature search. </w:t>
      </w:r>
      <w:r w:rsidR="00B91F18">
        <w:t>NRC</w:t>
      </w:r>
      <w:r>
        <w:t xml:space="preserve"> would not be expected to be an allergen, on the basis of its synthetic origin, purity, rapid metabolism to </w:t>
      </w:r>
      <w:r w:rsidR="00C57E2A">
        <w:t>Nam</w:t>
      </w:r>
      <w:r>
        <w:t xml:space="preserve">, and low molecular weight  of 290.7 Da. Most identified allergens are proteins or glycoproteins with molecular weights between 5 and 50 </w:t>
      </w:r>
      <w:r w:rsidRPr="00DB41D3">
        <w:t xml:space="preserve">kDa (Woodfolk </w:t>
      </w:r>
      <w:r w:rsidRPr="00FC0353">
        <w:rPr>
          <w:i/>
        </w:rPr>
        <w:t>et al</w:t>
      </w:r>
      <w:r w:rsidRPr="00DB41D3">
        <w:t xml:space="preserve"> 2015).</w:t>
      </w:r>
      <w:r>
        <w:t xml:space="preserve"> </w:t>
      </w:r>
    </w:p>
    <w:p w14:paraId="22A7C037" w14:textId="77777777" w:rsidR="008E3B90" w:rsidRDefault="008E3B90" w:rsidP="008E3B90"/>
    <w:p w14:paraId="0F7DFA65" w14:textId="5301F66F" w:rsidR="000C0A40" w:rsidRPr="000C0A40" w:rsidRDefault="00463F16" w:rsidP="00051B89">
      <w:pPr>
        <w:rPr>
          <w:b/>
          <w:bCs/>
          <w:sz w:val="36"/>
          <w:szCs w:val="28"/>
          <w:lang w:bidi="ar-SA"/>
        </w:rPr>
      </w:pPr>
      <w:r>
        <w:br w:type="page"/>
      </w:r>
    </w:p>
    <w:p w14:paraId="49902246" w14:textId="07CEA870" w:rsidR="000C0A40" w:rsidRDefault="000C0A40" w:rsidP="000C0A40">
      <w:pPr>
        <w:pStyle w:val="Heading1"/>
        <w:numPr>
          <w:ilvl w:val="0"/>
          <w:numId w:val="4"/>
        </w:numPr>
        <w:spacing w:before="0"/>
        <w:ind w:left="567" w:hanging="567"/>
      </w:pPr>
      <w:bookmarkStart w:id="463" w:name="_Toc65509081"/>
      <w:bookmarkStart w:id="464" w:name="_Toc65578818"/>
      <w:bookmarkStart w:id="465" w:name="_Toc65587212"/>
      <w:bookmarkStart w:id="466" w:name="_Toc65587182"/>
      <w:bookmarkStart w:id="467" w:name="_Toc65682792"/>
      <w:bookmarkStart w:id="468" w:name="_Toc65764333"/>
      <w:bookmarkStart w:id="469" w:name="_Toc65764666"/>
      <w:bookmarkStart w:id="470" w:name="_Toc65841235"/>
      <w:bookmarkStart w:id="471" w:name="_Toc66458158"/>
      <w:bookmarkStart w:id="472" w:name="_Toc66451432"/>
      <w:bookmarkStart w:id="473" w:name="_Toc66458825"/>
      <w:bookmarkStart w:id="474" w:name="_Toc66458958"/>
      <w:bookmarkStart w:id="475" w:name="_Toc66461653"/>
      <w:bookmarkStart w:id="476" w:name="_Toc69899761"/>
      <w:bookmarkStart w:id="477" w:name="_Toc66443250"/>
      <w:bookmarkStart w:id="478" w:name="_Toc66436806"/>
      <w:r>
        <w:lastRenderedPageBreak/>
        <w:t>Food Technology Assessment</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64C7ACC3" w14:textId="77777777" w:rsidR="00BA6BAC" w:rsidRPr="00BA6BAC" w:rsidRDefault="00BA6BAC" w:rsidP="00BA6BAC">
      <w:pPr>
        <w:pStyle w:val="ListParagraph"/>
        <w:keepNext/>
        <w:widowControl w:val="0"/>
        <w:numPr>
          <w:ilvl w:val="0"/>
          <w:numId w:val="36"/>
        </w:numPr>
        <w:spacing w:before="240" w:after="240"/>
        <w:contextualSpacing w:val="0"/>
        <w:outlineLvl w:val="1"/>
        <w:rPr>
          <w:rFonts w:eastAsia="Times New Roman" w:cs="Arial"/>
          <w:b/>
          <w:bCs/>
          <w:vanish/>
          <w:sz w:val="28"/>
          <w:lang w:val="en-AU"/>
        </w:rPr>
      </w:pPr>
      <w:bookmarkStart w:id="479" w:name="_Toc66717018"/>
      <w:bookmarkStart w:id="480" w:name="_Toc68869661"/>
      <w:bookmarkStart w:id="481" w:name="_Toc69899762"/>
      <w:bookmarkStart w:id="482" w:name="_Toc63866412"/>
      <w:bookmarkStart w:id="483" w:name="_Toc63863842"/>
      <w:bookmarkStart w:id="484" w:name="_Toc65509082"/>
      <w:bookmarkStart w:id="485" w:name="_Toc65587213"/>
      <w:bookmarkStart w:id="486" w:name="_Toc65587183"/>
      <w:bookmarkStart w:id="487" w:name="_Toc65682793"/>
      <w:bookmarkStart w:id="488" w:name="_Toc65764334"/>
      <w:bookmarkStart w:id="489" w:name="_Toc65764667"/>
      <w:bookmarkStart w:id="490" w:name="_Toc65841236"/>
      <w:bookmarkStart w:id="491" w:name="_Toc66443251"/>
      <w:bookmarkStart w:id="492" w:name="_Toc66436807"/>
      <w:bookmarkStart w:id="493" w:name="_Toc66458159"/>
      <w:bookmarkStart w:id="494" w:name="_Toc66451433"/>
      <w:bookmarkStart w:id="495" w:name="_Toc66458826"/>
      <w:bookmarkStart w:id="496" w:name="_Toc66458959"/>
      <w:bookmarkStart w:id="497" w:name="_Toc66461654"/>
      <w:bookmarkEnd w:id="477"/>
      <w:bookmarkEnd w:id="478"/>
      <w:bookmarkEnd w:id="479"/>
      <w:bookmarkEnd w:id="480"/>
      <w:bookmarkEnd w:id="481"/>
    </w:p>
    <w:p w14:paraId="44ED41AF" w14:textId="56AB405E" w:rsidR="002F7125" w:rsidRPr="00392401" w:rsidRDefault="002F7125" w:rsidP="00BA6BAC">
      <w:pPr>
        <w:pStyle w:val="Heading2"/>
      </w:pPr>
      <w:bookmarkStart w:id="498" w:name="_Toc65578819"/>
      <w:bookmarkStart w:id="499" w:name="_Toc69899763"/>
      <w:r w:rsidRPr="00CA5D21">
        <w:t>Objectives for the food technology assessment</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14:paraId="5CFDA553" w14:textId="042D024E" w:rsidR="002F7125" w:rsidRDefault="002F7125" w:rsidP="002F7125">
      <w:pPr>
        <w:rPr>
          <w:lang w:eastAsia="en-AU"/>
        </w:rPr>
      </w:pPr>
      <w:r>
        <w:rPr>
          <w:lang w:eastAsia="en-AU"/>
        </w:rPr>
        <w:t>This</w:t>
      </w:r>
      <w:r w:rsidDel="00562563">
        <w:rPr>
          <w:lang w:eastAsia="en-AU"/>
        </w:rPr>
        <w:t xml:space="preserve"> </w:t>
      </w:r>
      <w:r>
        <w:rPr>
          <w:lang w:eastAsia="en-AU"/>
        </w:rPr>
        <w:t xml:space="preserve">assessment reviewed </w:t>
      </w:r>
      <w:r w:rsidR="00BB2AF3">
        <w:rPr>
          <w:lang w:eastAsia="en-AU"/>
        </w:rPr>
        <w:t>NRC</w:t>
      </w:r>
      <w:r>
        <w:rPr>
          <w:lang w:eastAsia="en-AU"/>
        </w:rPr>
        <w:t xml:space="preserve"> as a permitted form of niacin for addition to FSMPs, from a food technology perspective. The assessment also considered</w:t>
      </w:r>
      <w:r w:rsidRPr="00665DF7">
        <w:rPr>
          <w:lang w:eastAsia="en-AU"/>
        </w:rPr>
        <w:t xml:space="preserve"> the manufacturing process and the validity of analytical methods used to quantify and characterise </w:t>
      </w:r>
      <w:r>
        <w:rPr>
          <w:lang w:eastAsia="en-AU"/>
        </w:rPr>
        <w:t>NRC during</w:t>
      </w:r>
      <w:r w:rsidRPr="00665DF7">
        <w:rPr>
          <w:lang w:eastAsia="en-AU"/>
        </w:rPr>
        <w:t xml:space="preserve"> production</w:t>
      </w:r>
      <w:r>
        <w:rPr>
          <w:lang w:eastAsia="en-AU"/>
        </w:rPr>
        <w:t>.</w:t>
      </w:r>
    </w:p>
    <w:p w14:paraId="09BC3753" w14:textId="77777777" w:rsidR="002F7125" w:rsidRDefault="002F7125" w:rsidP="002F7125">
      <w:pPr>
        <w:rPr>
          <w:lang w:eastAsia="en-AU"/>
        </w:rPr>
      </w:pPr>
    </w:p>
    <w:p w14:paraId="14A31A49" w14:textId="49EEBF88" w:rsidR="002F7125" w:rsidRDefault="002F7125" w:rsidP="002F7125">
      <w:pPr>
        <w:rPr>
          <w:lang w:eastAsia="en-AU"/>
        </w:rPr>
      </w:pPr>
      <w:r>
        <w:rPr>
          <w:lang w:eastAsia="en-AU"/>
        </w:rPr>
        <w:t xml:space="preserve">Niacin is permitted to be added to FSMPs in the form of </w:t>
      </w:r>
      <w:r w:rsidR="00D41036">
        <w:rPr>
          <w:lang w:eastAsia="en-AU"/>
        </w:rPr>
        <w:t>NA</w:t>
      </w:r>
      <w:r>
        <w:rPr>
          <w:lang w:eastAsia="en-AU"/>
        </w:rPr>
        <w:t xml:space="preserve"> or </w:t>
      </w:r>
      <w:r w:rsidR="00D41036">
        <w:rPr>
          <w:lang w:eastAsia="en-AU"/>
        </w:rPr>
        <w:t>Nam</w:t>
      </w:r>
      <w:r>
        <w:rPr>
          <w:lang w:eastAsia="en-AU"/>
        </w:rPr>
        <w:t xml:space="preserve">. FSMPs can be the sole source of nutrition, therefore the form of the niacin used must be suitable and predictable, for example with respect to its stability, consistent chemical form, and delivery of niacin. </w:t>
      </w:r>
    </w:p>
    <w:p w14:paraId="50341FA9" w14:textId="77777777" w:rsidR="002F7125" w:rsidRDefault="002F7125" w:rsidP="002F7125">
      <w:pPr>
        <w:rPr>
          <w:lang w:eastAsia="en-AU"/>
        </w:rPr>
      </w:pPr>
    </w:p>
    <w:p w14:paraId="7AAF789F" w14:textId="57607BB7" w:rsidR="002F7125" w:rsidRPr="00D76925" w:rsidRDefault="002F7125" w:rsidP="002F7125">
      <w:pPr>
        <w:rPr>
          <w:strike/>
          <w:lang w:eastAsia="en-AU"/>
        </w:rPr>
      </w:pPr>
      <w:r>
        <w:rPr>
          <w:lang w:eastAsia="en-AU"/>
        </w:rPr>
        <w:t xml:space="preserve">The food technology assessment provides information on chemical identification, physicochemical properties, and specifications for the substance proposed to be added to food. This assessment characterises the chemical properties of NRC, the manufacturing process, and describes the basis for the specification for this chemical form of the vitamin niacin to be included in Schedule 3 of the Code. </w:t>
      </w:r>
    </w:p>
    <w:p w14:paraId="38B370FC" w14:textId="17F591E3" w:rsidR="002F7125" w:rsidRPr="00CA5D21" w:rsidRDefault="002F7125" w:rsidP="00533BF1">
      <w:pPr>
        <w:pStyle w:val="Heading2"/>
      </w:pPr>
      <w:bookmarkStart w:id="500" w:name="_Toc515634586"/>
      <w:bookmarkStart w:id="501" w:name="_Toc517451200"/>
      <w:bookmarkStart w:id="502" w:name="_Toc518397305"/>
      <w:bookmarkStart w:id="503" w:name="_Toc518400831"/>
      <w:bookmarkStart w:id="504" w:name="_Toc518475263"/>
      <w:bookmarkStart w:id="505" w:name="_Toc518478860"/>
      <w:bookmarkStart w:id="506" w:name="_Toc518995911"/>
      <w:bookmarkStart w:id="507" w:name="_Toc519260314"/>
      <w:bookmarkStart w:id="508" w:name="_Toc519260640"/>
      <w:bookmarkStart w:id="509" w:name="_Toc519607921"/>
      <w:bookmarkStart w:id="510" w:name="_Toc521418036"/>
      <w:bookmarkStart w:id="511" w:name="_Toc63866413"/>
      <w:bookmarkStart w:id="512" w:name="_Toc63863843"/>
      <w:bookmarkStart w:id="513" w:name="_Toc65509083"/>
      <w:bookmarkStart w:id="514" w:name="_Toc65578820"/>
      <w:bookmarkStart w:id="515" w:name="_Toc65587214"/>
      <w:bookmarkStart w:id="516" w:name="_Toc65587184"/>
      <w:bookmarkStart w:id="517" w:name="_Toc65682794"/>
      <w:bookmarkStart w:id="518" w:name="_Toc65764335"/>
      <w:bookmarkStart w:id="519" w:name="_Toc65764668"/>
      <w:bookmarkStart w:id="520" w:name="_Toc65841237"/>
      <w:bookmarkStart w:id="521" w:name="_Toc66443252"/>
      <w:bookmarkStart w:id="522" w:name="_Toc66436808"/>
      <w:bookmarkStart w:id="523" w:name="_Toc66458160"/>
      <w:bookmarkStart w:id="524" w:name="_Toc66451434"/>
      <w:bookmarkStart w:id="525" w:name="_Toc66458827"/>
      <w:bookmarkStart w:id="526" w:name="_Toc66458960"/>
      <w:bookmarkStart w:id="527" w:name="_Toc66461655"/>
      <w:bookmarkStart w:id="528" w:name="_Toc69899764"/>
      <w:r w:rsidRPr="00CA5D21">
        <w:t>Chemical properties</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sidRPr="00CA5D21">
        <w:t xml:space="preserve"> </w:t>
      </w:r>
    </w:p>
    <w:p w14:paraId="57024BE3" w14:textId="0BF51271" w:rsidR="002F7125" w:rsidRDefault="00785570" w:rsidP="00C10032">
      <w:pPr>
        <w:pStyle w:val="Heading3"/>
        <w:ind w:left="851" w:hanging="851"/>
      </w:pPr>
      <w:bookmarkStart w:id="529" w:name="_Toc65509084"/>
      <w:bookmarkStart w:id="530" w:name="_Toc65578821"/>
      <w:bookmarkStart w:id="531" w:name="_Toc65587215"/>
      <w:bookmarkStart w:id="532" w:name="_Toc65587231"/>
      <w:bookmarkStart w:id="533" w:name="_Toc65682795"/>
      <w:bookmarkStart w:id="534" w:name="_Toc65764336"/>
      <w:bookmarkStart w:id="535" w:name="_Toc65764669"/>
      <w:bookmarkStart w:id="536" w:name="_Toc65841238"/>
      <w:bookmarkStart w:id="537" w:name="_Toc66443253"/>
      <w:bookmarkStart w:id="538" w:name="_Toc66436809"/>
      <w:bookmarkStart w:id="539" w:name="_Toc66458161"/>
      <w:bookmarkStart w:id="540" w:name="_Toc66451435"/>
      <w:bookmarkStart w:id="541" w:name="_Toc66458828"/>
      <w:bookmarkStart w:id="542" w:name="_Toc66458961"/>
      <w:bookmarkStart w:id="543" w:name="_Toc66461656"/>
      <w:bookmarkStart w:id="544" w:name="_Toc69899765"/>
      <w:r>
        <w:t>4.2.1</w:t>
      </w:r>
      <w:r w:rsidR="002F7125">
        <w:tab/>
        <w:t>Chemical names, properties, and structures</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0E26233A" w14:textId="608B813F" w:rsidR="002F7125" w:rsidRDefault="002F7125" w:rsidP="002F7125">
      <w:pPr>
        <w:rPr>
          <w:lang w:eastAsia="en-AU"/>
        </w:rPr>
      </w:pPr>
      <w:r>
        <w:rPr>
          <w:lang w:eastAsia="en-AU"/>
        </w:rPr>
        <w:t xml:space="preserve">NRC is chemically synthesised, and is therefore a synthetic form of nicotinamide riboside as the chloride salt. </w:t>
      </w:r>
    </w:p>
    <w:p w14:paraId="682220CA" w14:textId="77777777" w:rsidR="002F7125" w:rsidRDefault="002F7125" w:rsidP="002F7125">
      <w:pPr>
        <w:rPr>
          <w:lang w:eastAsia="en-AU"/>
        </w:rPr>
      </w:pPr>
    </w:p>
    <w:p w14:paraId="0050D27C" w14:textId="42E4A7ED" w:rsidR="002F7125" w:rsidRDefault="002F7125" w:rsidP="002F7125">
      <w:r>
        <w:t xml:space="preserve">Chemical names and properties for </w:t>
      </w:r>
      <w:r>
        <w:rPr>
          <w:lang w:eastAsia="en-AU"/>
        </w:rPr>
        <w:t xml:space="preserve">NRC </w:t>
      </w:r>
      <w:r>
        <w:t xml:space="preserve">are listed in </w:t>
      </w:r>
      <w:r w:rsidR="00EE36FE" w:rsidRPr="00C10032">
        <w:rPr>
          <w:b/>
        </w:rPr>
        <w:t>Table</w:t>
      </w:r>
      <w:r w:rsidR="00A8228D">
        <w:rPr>
          <w:b/>
        </w:rPr>
        <w:t xml:space="preserve"> 3</w:t>
      </w:r>
      <w:r>
        <w:t>.</w:t>
      </w:r>
    </w:p>
    <w:p w14:paraId="37A77E25" w14:textId="77777777" w:rsidR="002F7125" w:rsidRDefault="002F7125" w:rsidP="002F7125"/>
    <w:p w14:paraId="2F9F1388" w14:textId="3A28E0C0" w:rsidR="002F7125" w:rsidRPr="00FB67BF" w:rsidRDefault="002F7125" w:rsidP="002F7125">
      <w:pPr>
        <w:pStyle w:val="FSTableFigureHeading"/>
        <w:rPr>
          <w:i w:val="0"/>
        </w:rPr>
      </w:pPr>
      <w:bookmarkStart w:id="545" w:name="Table2_1"/>
      <w:r w:rsidRPr="00FB67BF">
        <w:t xml:space="preserve">Table </w:t>
      </w:r>
      <w:bookmarkEnd w:id="545"/>
      <w:r w:rsidR="00EE36FE" w:rsidRPr="00FB67BF">
        <w:t>3</w:t>
      </w:r>
      <w:r w:rsidRPr="00FB67BF">
        <w:t>:</w:t>
      </w:r>
      <w:r w:rsidRPr="00FB67BF">
        <w:rPr>
          <w:i w:val="0"/>
        </w:rPr>
        <w:tab/>
        <w:t xml:space="preserve">Chemical properties of </w:t>
      </w:r>
      <w:r w:rsidRPr="00FB67BF">
        <w:rPr>
          <w:i w:val="0"/>
          <w:lang w:eastAsia="en-AU"/>
        </w:rPr>
        <w:t>nicotinamide riboside chloride</w:t>
      </w:r>
    </w:p>
    <w:tbl>
      <w:tblPr>
        <w:tblStyle w:val="Table"/>
        <w:tblW w:w="9072" w:type="dxa"/>
        <w:tblLook w:val="04A0" w:firstRow="1" w:lastRow="0" w:firstColumn="1" w:lastColumn="0" w:noHBand="0" w:noVBand="1"/>
        <w:tblCaption w:val="Table 2.1: Chemical properties of 2'-FL and LNnT"/>
        <w:tblDescription w:val="Chemical names and properties for 2'-FL and LNnT"/>
      </w:tblPr>
      <w:tblGrid>
        <w:gridCol w:w="2186"/>
        <w:gridCol w:w="224"/>
        <w:gridCol w:w="6662"/>
      </w:tblGrid>
      <w:tr w:rsidR="002F7125" w:rsidRPr="00FB005F" w14:paraId="1CC21371" w14:textId="77777777" w:rsidTr="00D0230B">
        <w:trPr>
          <w:cnfStyle w:val="100000000000" w:firstRow="1" w:lastRow="0" w:firstColumn="0" w:lastColumn="0" w:oddVBand="0" w:evenVBand="0" w:oddHBand="0" w:evenHBand="0" w:firstRowFirstColumn="0" w:firstRowLastColumn="0" w:lastRowFirstColumn="0" w:lastRowLastColumn="0"/>
          <w:trHeight w:val="359"/>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BD1237" w14:textId="77777777" w:rsidR="002F7125" w:rsidRPr="00D0230B" w:rsidRDefault="002F7125" w:rsidP="00CB4C6A">
            <w:pPr>
              <w:spacing w:before="0" w:after="0"/>
              <w:rPr>
                <w:color w:val="auto"/>
                <w:szCs w:val="22"/>
              </w:rPr>
            </w:pPr>
            <w:r w:rsidRPr="00D0230B">
              <w:rPr>
                <w:color w:val="auto"/>
                <w:szCs w:val="22"/>
              </w:rPr>
              <w:t>Property</w:t>
            </w:r>
          </w:p>
        </w:tc>
        <w:tc>
          <w:tcPr>
            <w:tcW w:w="0" w:type="auto"/>
            <w:tcBorders>
              <w:top w:val="single" w:sz="4" w:space="0" w:color="auto"/>
              <w:left w:val="single" w:sz="4" w:space="0" w:color="auto"/>
              <w:bottom w:val="single" w:sz="4" w:space="0" w:color="auto"/>
            </w:tcBorders>
            <w:shd w:val="clear" w:color="auto" w:fill="auto"/>
          </w:tcPr>
          <w:p w14:paraId="6470783B" w14:textId="77777777" w:rsidR="002F7125" w:rsidRPr="00D0230B" w:rsidRDefault="002F7125" w:rsidP="00D0230B">
            <w:pPr>
              <w:spacing w:before="0" w:after="0"/>
              <w:rPr>
                <w:color w:val="auto"/>
                <w:szCs w:val="22"/>
                <w:lang w:eastAsia="en-AU"/>
              </w:rPr>
            </w:pPr>
          </w:p>
        </w:tc>
        <w:tc>
          <w:tcPr>
            <w:tcW w:w="6605" w:type="dxa"/>
            <w:tcBorders>
              <w:top w:val="single" w:sz="4" w:space="0" w:color="auto"/>
              <w:bottom w:val="single" w:sz="4" w:space="0" w:color="auto"/>
              <w:right w:val="single" w:sz="4" w:space="0" w:color="auto"/>
            </w:tcBorders>
            <w:shd w:val="clear" w:color="auto" w:fill="auto"/>
            <w:vAlign w:val="center"/>
          </w:tcPr>
          <w:p w14:paraId="49C16EBD" w14:textId="77777777" w:rsidR="002F7125" w:rsidRPr="00D0230B" w:rsidRDefault="002F7125" w:rsidP="00CB4C6A">
            <w:pPr>
              <w:spacing w:before="0" w:after="0"/>
              <w:rPr>
                <w:color w:val="auto"/>
                <w:szCs w:val="22"/>
              </w:rPr>
            </w:pPr>
            <w:r w:rsidRPr="00D0230B">
              <w:rPr>
                <w:color w:val="auto"/>
                <w:szCs w:val="22"/>
                <w:lang w:eastAsia="en-AU"/>
              </w:rPr>
              <w:t>nicotinamide riboside chloride</w:t>
            </w:r>
          </w:p>
        </w:tc>
      </w:tr>
      <w:tr w:rsidR="002F7125" w:rsidRPr="00FB005F" w14:paraId="126AE008" w14:textId="77777777" w:rsidTr="00D0230B">
        <w:trPr>
          <w:cnfStyle w:val="000000100000" w:firstRow="0" w:lastRow="0" w:firstColumn="0" w:lastColumn="0" w:oddVBand="0" w:evenVBand="0" w:oddHBand="1" w:evenHBand="0" w:firstRowFirstColumn="0" w:firstRowLastColumn="0" w:lastRowFirstColumn="0" w:lastRowLastColumn="0"/>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70942A" w14:textId="77777777" w:rsidR="002F7125" w:rsidRPr="00D0230B" w:rsidRDefault="002F7125" w:rsidP="00D0230B">
            <w:pPr>
              <w:pStyle w:val="Default"/>
              <w:spacing w:before="0" w:after="0"/>
              <w:rPr>
                <w:sz w:val="22"/>
                <w:szCs w:val="22"/>
              </w:rPr>
            </w:pPr>
            <w:r w:rsidRPr="00D0230B">
              <w:rPr>
                <w:sz w:val="22"/>
                <w:szCs w:val="22"/>
              </w:rPr>
              <w:t>Chemical name</w:t>
            </w:r>
          </w:p>
        </w:tc>
        <w:tc>
          <w:tcPr>
            <w:tcW w:w="6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0EF58" w14:textId="2116CFA6" w:rsidR="002F7125" w:rsidRPr="00D0230B" w:rsidRDefault="002F7125" w:rsidP="00D0230B">
            <w:pPr>
              <w:pStyle w:val="Default"/>
              <w:spacing w:before="0" w:after="0"/>
              <w:rPr>
                <w:sz w:val="22"/>
                <w:szCs w:val="22"/>
              </w:rPr>
            </w:pPr>
            <w:r w:rsidRPr="00D0230B">
              <w:rPr>
                <w:sz w:val="22"/>
                <w:szCs w:val="22"/>
              </w:rPr>
              <w:t xml:space="preserve">3-(Aminocarbonyl)-1-β-D-ribofuranosyl-pyridinium chloride (1:1) </w:t>
            </w:r>
          </w:p>
        </w:tc>
      </w:tr>
      <w:tr w:rsidR="002F7125" w:rsidRPr="00FB005F" w14:paraId="6F33BC5C" w14:textId="77777777" w:rsidTr="00D0230B">
        <w:trPr>
          <w:cnfStyle w:val="000000010000" w:firstRow="0" w:lastRow="0" w:firstColumn="0" w:lastColumn="0" w:oddVBand="0" w:evenVBand="0" w:oddHBand="0" w:evenHBand="1" w:firstRowFirstColumn="0" w:firstRowLastColumn="0" w:lastRowFirstColumn="0" w:lastRowLastColumn="0"/>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215D50" w14:textId="77777777" w:rsidR="002F7125" w:rsidRPr="00D0230B" w:rsidRDefault="002F7125" w:rsidP="00D0230B">
            <w:pPr>
              <w:spacing w:before="0" w:after="0"/>
              <w:rPr>
                <w:szCs w:val="22"/>
              </w:rPr>
            </w:pPr>
            <w:r w:rsidRPr="00D0230B">
              <w:rPr>
                <w:szCs w:val="22"/>
              </w:rPr>
              <w:t>Common name</w:t>
            </w:r>
          </w:p>
        </w:tc>
        <w:tc>
          <w:tcPr>
            <w:tcW w:w="6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587B4" w14:textId="77777777" w:rsidR="002F7125" w:rsidRPr="00D0230B" w:rsidRDefault="002F7125" w:rsidP="00CB4C6A">
            <w:pPr>
              <w:spacing w:before="0" w:after="0"/>
              <w:rPr>
                <w:szCs w:val="22"/>
              </w:rPr>
            </w:pPr>
            <w:r w:rsidRPr="00D0230B">
              <w:rPr>
                <w:szCs w:val="22"/>
              </w:rPr>
              <w:t>Nicotinamide riboside chloride</w:t>
            </w:r>
          </w:p>
        </w:tc>
      </w:tr>
      <w:tr w:rsidR="002F7125" w:rsidRPr="00FB005F" w14:paraId="2553E0D4" w14:textId="77777777" w:rsidTr="00D0230B">
        <w:trPr>
          <w:cnfStyle w:val="000000100000" w:firstRow="0" w:lastRow="0" w:firstColumn="0" w:lastColumn="0" w:oddVBand="0" w:evenVBand="0" w:oddHBand="1" w:evenHBand="0" w:firstRowFirstColumn="0" w:firstRowLastColumn="0" w:lastRowFirstColumn="0" w:lastRowLastColumn="0"/>
          <w:trHeight w:val="702"/>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E0990" w14:textId="77777777" w:rsidR="002F7125" w:rsidRPr="00D0230B" w:rsidRDefault="002F7125" w:rsidP="00D0230B">
            <w:pPr>
              <w:pStyle w:val="Default"/>
              <w:spacing w:before="0" w:after="0"/>
              <w:rPr>
                <w:sz w:val="22"/>
                <w:szCs w:val="22"/>
              </w:rPr>
            </w:pPr>
            <w:r w:rsidRPr="00D0230B">
              <w:rPr>
                <w:sz w:val="22"/>
                <w:szCs w:val="22"/>
              </w:rPr>
              <w:t>Alternative names</w:t>
            </w:r>
          </w:p>
        </w:tc>
        <w:tc>
          <w:tcPr>
            <w:tcW w:w="6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8FE0" w14:textId="77777777" w:rsidR="00D0230B" w:rsidRDefault="002F7125" w:rsidP="00D0230B">
            <w:pPr>
              <w:pStyle w:val="Default"/>
              <w:spacing w:before="0" w:after="0"/>
              <w:rPr>
                <w:sz w:val="22"/>
                <w:szCs w:val="22"/>
              </w:rPr>
            </w:pPr>
            <w:r w:rsidRPr="00D0230B">
              <w:rPr>
                <w:sz w:val="22"/>
                <w:szCs w:val="22"/>
              </w:rPr>
              <w:t>Pyridinium, 3-(aminocarbonyl)-1-β-D-ribofuranosyl-, chloride</w:t>
            </w:r>
          </w:p>
          <w:p w14:paraId="5E795945" w14:textId="610CBE4E" w:rsidR="00D0230B" w:rsidRDefault="002F7125" w:rsidP="00D0230B">
            <w:pPr>
              <w:pStyle w:val="Default"/>
              <w:spacing w:before="0" w:after="0"/>
              <w:rPr>
                <w:sz w:val="22"/>
                <w:szCs w:val="22"/>
              </w:rPr>
            </w:pPr>
            <w:r w:rsidRPr="00D0230B">
              <w:rPr>
                <w:sz w:val="22"/>
                <w:szCs w:val="22"/>
              </w:rPr>
              <w:t xml:space="preserve"> Pyridinium, 3-carbamoyl-1-β-D-ribofuranosyl-, chloride (8Cl) </w:t>
            </w:r>
          </w:p>
          <w:p w14:paraId="7F9229A0" w14:textId="12799C99" w:rsidR="002F7125" w:rsidRPr="00D0230B" w:rsidRDefault="002F7125" w:rsidP="00D0230B">
            <w:pPr>
              <w:pStyle w:val="Default"/>
              <w:spacing w:before="0" w:after="0"/>
              <w:rPr>
                <w:sz w:val="22"/>
                <w:szCs w:val="22"/>
              </w:rPr>
            </w:pPr>
            <w:r w:rsidRPr="00D0230B">
              <w:rPr>
                <w:sz w:val="22"/>
                <w:szCs w:val="22"/>
              </w:rPr>
              <w:t>N-ribosylnicotinamide</w:t>
            </w:r>
          </w:p>
        </w:tc>
      </w:tr>
      <w:tr w:rsidR="002F7125" w:rsidRPr="00FB005F" w14:paraId="550591EF" w14:textId="77777777" w:rsidTr="00D0230B">
        <w:trPr>
          <w:cnfStyle w:val="000000010000" w:firstRow="0" w:lastRow="0" w:firstColumn="0" w:lastColumn="0" w:oddVBand="0" w:evenVBand="0" w:oddHBand="0" w:evenHBand="1" w:firstRowFirstColumn="0" w:firstRowLastColumn="0" w:lastRowFirstColumn="0" w:lastRowLastColumn="0"/>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4E8AE" w14:textId="77777777" w:rsidR="002F7125" w:rsidRPr="00D0230B" w:rsidRDefault="002F7125" w:rsidP="00D0230B">
            <w:pPr>
              <w:pStyle w:val="Default"/>
              <w:spacing w:before="0" w:after="0"/>
              <w:rPr>
                <w:sz w:val="22"/>
                <w:szCs w:val="22"/>
              </w:rPr>
            </w:pPr>
            <w:r w:rsidRPr="00D0230B">
              <w:rPr>
                <w:sz w:val="22"/>
                <w:szCs w:val="22"/>
              </w:rPr>
              <w:t>CAS registry number</w:t>
            </w:r>
          </w:p>
        </w:tc>
        <w:tc>
          <w:tcPr>
            <w:tcW w:w="6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2E630" w14:textId="3790D0D5" w:rsidR="002F7125" w:rsidRPr="00D0230B" w:rsidRDefault="002F7125" w:rsidP="00D0230B">
            <w:pPr>
              <w:pStyle w:val="Default"/>
              <w:spacing w:before="0" w:after="0"/>
              <w:rPr>
                <w:sz w:val="22"/>
                <w:szCs w:val="22"/>
              </w:rPr>
            </w:pPr>
            <w:r w:rsidRPr="00D0230B">
              <w:rPr>
                <w:sz w:val="22"/>
                <w:szCs w:val="22"/>
              </w:rPr>
              <w:t xml:space="preserve">23111-00-4 </w:t>
            </w:r>
          </w:p>
        </w:tc>
      </w:tr>
      <w:tr w:rsidR="002F7125" w:rsidRPr="00FB005F" w14:paraId="355F9081" w14:textId="77777777" w:rsidTr="00D0230B">
        <w:trPr>
          <w:cnfStyle w:val="000000100000" w:firstRow="0" w:lastRow="0" w:firstColumn="0" w:lastColumn="0" w:oddVBand="0" w:evenVBand="0" w:oddHBand="1" w:evenHBand="0" w:firstRowFirstColumn="0" w:firstRowLastColumn="0" w:lastRowFirstColumn="0" w:lastRowLastColumn="0"/>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C5723" w14:textId="77777777" w:rsidR="002F7125" w:rsidRPr="00D0230B" w:rsidRDefault="002F7125" w:rsidP="00D0230B">
            <w:pPr>
              <w:pStyle w:val="Default"/>
              <w:spacing w:before="0" w:after="0"/>
              <w:rPr>
                <w:sz w:val="22"/>
                <w:szCs w:val="22"/>
              </w:rPr>
            </w:pPr>
            <w:r w:rsidRPr="00D0230B">
              <w:rPr>
                <w:sz w:val="22"/>
                <w:szCs w:val="22"/>
              </w:rPr>
              <w:t>Chemical formula</w:t>
            </w:r>
          </w:p>
        </w:tc>
        <w:tc>
          <w:tcPr>
            <w:tcW w:w="6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6FE1E" w14:textId="3E33EFFD" w:rsidR="002F7125" w:rsidRPr="00D0230B" w:rsidRDefault="002F7125" w:rsidP="00D0230B">
            <w:pPr>
              <w:pStyle w:val="Default"/>
              <w:spacing w:before="0" w:after="0"/>
              <w:rPr>
                <w:sz w:val="22"/>
                <w:szCs w:val="22"/>
              </w:rPr>
            </w:pPr>
            <w:r w:rsidRPr="00D0230B">
              <w:rPr>
                <w:sz w:val="22"/>
                <w:szCs w:val="22"/>
              </w:rPr>
              <w:t>C</w:t>
            </w:r>
            <w:r w:rsidRPr="00D0230B">
              <w:rPr>
                <w:sz w:val="22"/>
                <w:szCs w:val="22"/>
                <w:vertAlign w:val="subscript"/>
              </w:rPr>
              <w:t>11</w:t>
            </w:r>
            <w:r w:rsidRPr="00D0230B">
              <w:rPr>
                <w:sz w:val="22"/>
                <w:szCs w:val="22"/>
              </w:rPr>
              <w:t>H</w:t>
            </w:r>
            <w:r w:rsidRPr="00D0230B">
              <w:rPr>
                <w:sz w:val="22"/>
                <w:szCs w:val="22"/>
                <w:vertAlign w:val="subscript"/>
              </w:rPr>
              <w:t>15</w:t>
            </w:r>
            <w:r w:rsidRPr="00D0230B">
              <w:rPr>
                <w:sz w:val="22"/>
                <w:szCs w:val="22"/>
              </w:rPr>
              <w:t>N</w:t>
            </w:r>
            <w:r w:rsidRPr="00D0230B">
              <w:rPr>
                <w:sz w:val="22"/>
                <w:szCs w:val="22"/>
                <w:vertAlign w:val="subscript"/>
              </w:rPr>
              <w:t>2</w:t>
            </w:r>
            <w:r w:rsidRPr="00D0230B">
              <w:rPr>
                <w:sz w:val="22"/>
                <w:szCs w:val="22"/>
              </w:rPr>
              <w:t>O</w:t>
            </w:r>
            <w:r w:rsidRPr="00D0230B">
              <w:rPr>
                <w:sz w:val="22"/>
                <w:szCs w:val="22"/>
                <w:vertAlign w:val="subscript"/>
              </w:rPr>
              <w:t>5</w:t>
            </w:r>
            <w:r w:rsidRPr="00D0230B">
              <w:rPr>
                <w:sz w:val="22"/>
                <w:szCs w:val="22"/>
              </w:rPr>
              <w:t xml:space="preserve">·Cl </w:t>
            </w:r>
          </w:p>
        </w:tc>
      </w:tr>
      <w:tr w:rsidR="002F7125" w:rsidRPr="00FB005F" w14:paraId="543276C4" w14:textId="77777777" w:rsidTr="00D0230B">
        <w:trPr>
          <w:cnfStyle w:val="000000010000" w:firstRow="0" w:lastRow="0" w:firstColumn="0" w:lastColumn="0" w:oddVBand="0" w:evenVBand="0" w:oddHBand="0" w:evenHBand="1" w:firstRowFirstColumn="0" w:firstRowLastColumn="0" w:lastRowFirstColumn="0" w:lastRowLastColumn="0"/>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762E8" w14:textId="77777777" w:rsidR="002F7125" w:rsidRPr="00D0230B" w:rsidRDefault="002F7125" w:rsidP="00D0230B">
            <w:pPr>
              <w:spacing w:before="0" w:after="0"/>
              <w:rPr>
                <w:szCs w:val="22"/>
              </w:rPr>
            </w:pPr>
            <w:r w:rsidRPr="00D0230B">
              <w:rPr>
                <w:szCs w:val="22"/>
              </w:rPr>
              <w:t>Molecular mass</w:t>
            </w:r>
          </w:p>
        </w:tc>
        <w:tc>
          <w:tcPr>
            <w:tcW w:w="6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A210B" w14:textId="77777777" w:rsidR="002F7125" w:rsidRPr="00D0230B" w:rsidRDefault="002F7125" w:rsidP="00CB4C6A">
            <w:pPr>
              <w:spacing w:before="0" w:after="0"/>
              <w:rPr>
                <w:szCs w:val="22"/>
              </w:rPr>
            </w:pPr>
            <w:r w:rsidRPr="00D0230B">
              <w:rPr>
                <w:szCs w:val="22"/>
              </w:rPr>
              <w:t>290.7 g/mol</w:t>
            </w:r>
          </w:p>
        </w:tc>
      </w:tr>
      <w:tr w:rsidR="002F7125" w:rsidRPr="00FB005F" w14:paraId="4DED7B5B" w14:textId="77777777" w:rsidTr="00D0230B">
        <w:trPr>
          <w:cnfStyle w:val="000000100000" w:firstRow="0" w:lastRow="0" w:firstColumn="0" w:lastColumn="0" w:oddVBand="0" w:evenVBand="0" w:oddHBand="1" w:evenHBand="0" w:firstRowFirstColumn="0" w:firstRowLastColumn="0" w:lastRowFirstColumn="0" w:lastRowLastColumn="0"/>
          <w:trHeight w:val="397"/>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0319E4" w14:textId="77777777" w:rsidR="002F7125" w:rsidRPr="00D0230B" w:rsidRDefault="002F7125" w:rsidP="00D0230B">
            <w:pPr>
              <w:spacing w:before="0" w:after="0"/>
              <w:rPr>
                <w:szCs w:val="22"/>
              </w:rPr>
            </w:pPr>
            <w:r w:rsidRPr="00D0230B">
              <w:rPr>
                <w:szCs w:val="22"/>
              </w:rPr>
              <w:t>Solubility</w:t>
            </w:r>
          </w:p>
        </w:tc>
        <w:tc>
          <w:tcPr>
            <w:tcW w:w="6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50DC1" w14:textId="77777777" w:rsidR="002F7125" w:rsidRPr="00D0230B" w:rsidRDefault="002F7125" w:rsidP="00CB4C6A">
            <w:pPr>
              <w:spacing w:before="0" w:after="0"/>
              <w:rPr>
                <w:szCs w:val="22"/>
              </w:rPr>
            </w:pPr>
            <w:r w:rsidRPr="00D0230B">
              <w:rPr>
                <w:szCs w:val="22"/>
              </w:rPr>
              <w:t>Readily soluble in water</w:t>
            </w:r>
          </w:p>
        </w:tc>
      </w:tr>
    </w:tbl>
    <w:p w14:paraId="2AA22E86" w14:textId="77777777" w:rsidR="002F7125" w:rsidRDefault="002F7125" w:rsidP="002F7125"/>
    <w:p w14:paraId="2ADF83B4" w14:textId="77777777" w:rsidR="002F7125" w:rsidRDefault="002F7125" w:rsidP="002F7125">
      <w:pPr>
        <w:rPr>
          <w:lang w:eastAsia="en-AU"/>
        </w:rPr>
      </w:pPr>
      <w:r>
        <w:rPr>
          <w:lang w:eastAsia="en-AU"/>
        </w:rPr>
        <w:t>The chemical structure of NRC is shown below. The applicant’s product, Niagen</w:t>
      </w:r>
      <w:r>
        <w:rPr>
          <w:rFonts w:cs="Arial"/>
          <w:lang w:eastAsia="en-AU"/>
        </w:rPr>
        <w:t>®</w:t>
      </w:r>
      <w:r>
        <w:rPr>
          <w:lang w:eastAsia="en-AU"/>
        </w:rPr>
        <w:t xml:space="preserve"> is a crystalline form of NRC. It </w:t>
      </w:r>
      <w:r w:rsidRPr="00BD190A">
        <w:t xml:space="preserve">is a </w:t>
      </w:r>
      <w:r>
        <w:t xml:space="preserve">single chemical entity which incorporates nicotinamide and ribose. </w:t>
      </w:r>
      <w:r>
        <w:rPr>
          <w:lang w:eastAsia="en-AU"/>
        </w:rPr>
        <w:t xml:space="preserve">NRC is a white to light brown powder that is soluble in water. </w:t>
      </w:r>
    </w:p>
    <w:p w14:paraId="5BCC4CA2" w14:textId="77777777" w:rsidR="002F7125" w:rsidRDefault="003201EB" w:rsidP="002F7125">
      <w:pPr>
        <w:rPr>
          <w:lang w:eastAsia="en-AU"/>
        </w:rPr>
      </w:pPr>
      <w:r>
        <w:rPr>
          <w:noProof/>
          <w:lang w:eastAsia="en-GB" w:bidi="ar-SA"/>
        </w:rPr>
        <w:lastRenderedPageBreak/>
        <w:drawing>
          <wp:inline distT="0" distB="0" distL="0" distR="0" wp14:anchorId="665A33E1" wp14:editId="2D85240B">
            <wp:extent cx="2085975" cy="16859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85975" cy="1685925"/>
                    </a:xfrm>
                    <a:prstGeom prst="rect">
                      <a:avLst/>
                    </a:prstGeom>
                  </pic:spPr>
                </pic:pic>
              </a:graphicData>
            </a:graphic>
          </wp:inline>
        </w:drawing>
      </w:r>
    </w:p>
    <w:p w14:paraId="16212164" w14:textId="54B82BE1" w:rsidR="002F7125" w:rsidRPr="005216C9" w:rsidRDefault="002F7125" w:rsidP="00C95478">
      <w:pPr>
        <w:rPr>
          <w:b/>
        </w:rPr>
      </w:pPr>
      <w:bookmarkStart w:id="546" w:name="Figure2_1"/>
      <w:r w:rsidRPr="00BB2AF3">
        <w:rPr>
          <w:b/>
          <w:i/>
        </w:rPr>
        <w:t xml:space="preserve">Figure </w:t>
      </w:r>
      <w:bookmarkEnd w:id="546"/>
      <w:r w:rsidR="005216C9" w:rsidRPr="00BB2AF3">
        <w:rPr>
          <w:b/>
          <w:i/>
        </w:rPr>
        <w:t>2</w:t>
      </w:r>
      <w:r w:rsidR="00BB2AF3">
        <w:rPr>
          <w:b/>
        </w:rPr>
        <w:t>.</w:t>
      </w:r>
      <w:r w:rsidRPr="005216C9">
        <w:rPr>
          <w:b/>
        </w:rPr>
        <w:tab/>
        <w:t>Chemical Structure</w:t>
      </w:r>
    </w:p>
    <w:p w14:paraId="100AA6AA" w14:textId="77777777" w:rsidR="002F7125" w:rsidRDefault="002F7125" w:rsidP="002F7125">
      <w:pPr>
        <w:pStyle w:val="FSTableFigureHeading"/>
        <w:spacing w:before="0" w:after="0"/>
        <w:ind w:left="0" w:firstLine="0"/>
        <w:jc w:val="both"/>
        <w:rPr>
          <w:b w:val="0"/>
          <w:i w:val="0"/>
          <w:sz w:val="20"/>
          <w:szCs w:val="20"/>
        </w:rPr>
      </w:pPr>
    </w:p>
    <w:p w14:paraId="03A8771E" w14:textId="2F9BE61D" w:rsidR="002F7125" w:rsidRPr="004A7599" w:rsidRDefault="00785570" w:rsidP="00BB2AF3">
      <w:pPr>
        <w:pStyle w:val="Heading3"/>
        <w:ind w:left="851" w:hanging="851"/>
      </w:pPr>
      <w:bookmarkStart w:id="547" w:name="_Toc515634588"/>
      <w:bookmarkStart w:id="548" w:name="_Toc517451202"/>
      <w:bookmarkStart w:id="549" w:name="_Toc518397307"/>
      <w:bookmarkStart w:id="550" w:name="_Toc518400833"/>
      <w:bookmarkStart w:id="551" w:name="_Toc518475265"/>
      <w:bookmarkStart w:id="552" w:name="_Toc518478862"/>
      <w:bookmarkStart w:id="553" w:name="_Toc518995913"/>
      <w:bookmarkStart w:id="554" w:name="_Toc519260316"/>
      <w:bookmarkStart w:id="555" w:name="_Toc519260642"/>
      <w:bookmarkStart w:id="556" w:name="_Toc519607923"/>
      <w:bookmarkStart w:id="557" w:name="_Toc521418038"/>
      <w:bookmarkStart w:id="558" w:name="_Toc63866415"/>
      <w:bookmarkStart w:id="559" w:name="_Toc63863845"/>
      <w:bookmarkStart w:id="560" w:name="_Toc65509085"/>
      <w:bookmarkStart w:id="561" w:name="_Toc65578822"/>
      <w:bookmarkStart w:id="562" w:name="_Toc65587216"/>
      <w:bookmarkStart w:id="563" w:name="_Toc65587232"/>
      <w:bookmarkStart w:id="564" w:name="_Toc65682796"/>
      <w:bookmarkStart w:id="565" w:name="_Toc65764337"/>
      <w:bookmarkStart w:id="566" w:name="_Toc65764670"/>
      <w:bookmarkStart w:id="567" w:name="_Toc65841239"/>
      <w:bookmarkStart w:id="568" w:name="_Toc66443254"/>
      <w:bookmarkStart w:id="569" w:name="_Toc66436810"/>
      <w:bookmarkStart w:id="570" w:name="_Toc66458162"/>
      <w:bookmarkStart w:id="571" w:name="_Toc66451436"/>
      <w:bookmarkStart w:id="572" w:name="_Toc66458829"/>
      <w:bookmarkStart w:id="573" w:name="_Toc66458962"/>
      <w:bookmarkStart w:id="574" w:name="_Toc66461657"/>
      <w:bookmarkStart w:id="575" w:name="_Toc69899766"/>
      <w:bookmarkStart w:id="576" w:name="Section2_1_2"/>
      <w:r>
        <w:t>4</w:t>
      </w:r>
      <w:r w:rsidR="002F7125" w:rsidRPr="004A7599">
        <w:t>.2.2</w:t>
      </w:r>
      <w:r w:rsidR="002F7125" w:rsidRPr="004A7599">
        <w:tab/>
        <w:t>Structural identification</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002F7125" w:rsidRPr="004A7599">
        <w:t xml:space="preserve"> </w:t>
      </w:r>
      <w:bookmarkEnd w:id="576"/>
    </w:p>
    <w:p w14:paraId="04BBDB00" w14:textId="5CB6576F" w:rsidR="002F7125" w:rsidRDefault="002F7125" w:rsidP="002F7125">
      <w:r>
        <w:rPr>
          <w:lang w:eastAsia="en-AU"/>
        </w:rPr>
        <w:t xml:space="preserve">NRC may exist as </w:t>
      </w:r>
      <w:r>
        <w:rPr>
          <w:rFonts w:cs="Arial"/>
          <w:lang w:eastAsia="en-AU"/>
        </w:rPr>
        <w:t>α</w:t>
      </w:r>
      <w:r>
        <w:rPr>
          <w:lang w:eastAsia="en-AU"/>
        </w:rPr>
        <w:t xml:space="preserve"> or </w:t>
      </w:r>
      <w:r>
        <w:rPr>
          <w:rFonts w:cs="Arial"/>
          <w:lang w:eastAsia="en-AU"/>
        </w:rPr>
        <w:t>β</w:t>
      </w:r>
      <w:r>
        <w:rPr>
          <w:lang w:eastAsia="en-AU"/>
        </w:rPr>
        <w:t xml:space="preserve"> isomers (Figure 1). The applicant is seeking permission for the </w:t>
      </w:r>
      <w:r w:rsidR="00D0230B">
        <w:rPr>
          <w:rFonts w:cs="Arial"/>
          <w:lang w:eastAsia="en-AU"/>
        </w:rPr>
        <w:t>β</w:t>
      </w:r>
      <w:r>
        <w:rPr>
          <w:lang w:eastAsia="en-AU"/>
        </w:rPr>
        <w:t xml:space="preserve"> form (CAS number 23111-00-4)</w:t>
      </w:r>
      <w:r w:rsidR="007A6E41">
        <w:rPr>
          <w:strike/>
          <w:lang w:eastAsia="en-AU"/>
        </w:rPr>
        <w:t>.</w:t>
      </w:r>
      <w:r w:rsidRPr="004A7599">
        <w:rPr>
          <w:lang w:eastAsia="en-AU"/>
        </w:rPr>
        <w:t xml:space="preserve">The applicant’s NRC is </w:t>
      </w:r>
      <w:r>
        <w:rPr>
          <w:lang w:eastAsia="en-AU"/>
        </w:rPr>
        <w:t xml:space="preserve">predominantly </w:t>
      </w:r>
      <w:r w:rsidRPr="004A7599">
        <w:rPr>
          <w:lang w:eastAsia="en-AU"/>
        </w:rPr>
        <w:t xml:space="preserve">the </w:t>
      </w:r>
      <w:r w:rsidRPr="004A7599">
        <w:rPr>
          <w:rFonts w:cs="Arial"/>
          <w:lang w:eastAsia="en-AU"/>
        </w:rPr>
        <w:t>β</w:t>
      </w:r>
      <w:r w:rsidRPr="004A7599">
        <w:rPr>
          <w:lang w:eastAsia="en-AU"/>
        </w:rPr>
        <w:t xml:space="preserve"> form of NRC</w:t>
      </w:r>
      <w:r w:rsidR="00486F50">
        <w:rPr>
          <w:lang w:eastAsia="en-AU"/>
        </w:rPr>
        <w:t>.</w:t>
      </w:r>
      <w:r>
        <w:rPr>
          <w:rFonts w:cs="Arial"/>
          <w:lang w:eastAsia="en-AU"/>
        </w:rPr>
        <w:t xml:space="preserve"> </w:t>
      </w:r>
      <w:r w:rsidRPr="004A7599">
        <w:rPr>
          <w:lang w:eastAsia="en-AU"/>
        </w:rPr>
        <w:t>T</w:t>
      </w:r>
      <w:r>
        <w:rPr>
          <w:lang w:eastAsia="en-AU"/>
        </w:rPr>
        <w:t>o</w:t>
      </w:r>
      <w:r w:rsidRPr="004A7599">
        <w:rPr>
          <w:lang w:eastAsia="en-AU"/>
        </w:rPr>
        <w:t xml:space="preserve"> </w:t>
      </w:r>
      <w:r>
        <w:rPr>
          <w:lang w:eastAsia="en-AU"/>
        </w:rPr>
        <w:t xml:space="preserve">confirm </w:t>
      </w:r>
      <w:r w:rsidRPr="004A7599">
        <w:rPr>
          <w:lang w:eastAsia="en-AU"/>
        </w:rPr>
        <w:t xml:space="preserve">that </w:t>
      </w:r>
      <w:r>
        <w:rPr>
          <w:lang w:eastAsia="en-AU"/>
        </w:rPr>
        <w:t xml:space="preserve">NRC consists mainly of the </w:t>
      </w:r>
      <w:r>
        <w:rPr>
          <w:rFonts w:cs="Arial"/>
          <w:lang w:eastAsia="en-AU"/>
        </w:rPr>
        <w:t>β</w:t>
      </w:r>
      <w:r>
        <w:rPr>
          <w:lang w:eastAsia="en-AU"/>
        </w:rPr>
        <w:t xml:space="preserve"> form </w:t>
      </w:r>
      <w:r w:rsidRPr="004A7599">
        <w:rPr>
          <w:lang w:eastAsia="en-AU"/>
        </w:rPr>
        <w:t>NRC is analysed using nuclear magnetic resonance</w:t>
      </w:r>
      <w:r w:rsidRPr="004A7599" w:rsidDel="00562563">
        <w:rPr>
          <w:lang w:eastAsia="en-AU"/>
        </w:rPr>
        <w:t xml:space="preserve"> </w:t>
      </w:r>
      <w:r w:rsidRPr="004A7599">
        <w:rPr>
          <w:lang w:eastAsia="en-AU"/>
        </w:rPr>
        <w:t xml:space="preserve">(NMR), which discriminates between the </w:t>
      </w:r>
      <w:r w:rsidRPr="004A7599">
        <w:rPr>
          <w:rFonts w:cs="Arial"/>
          <w:lang w:eastAsia="en-AU"/>
        </w:rPr>
        <w:t>α</w:t>
      </w:r>
      <w:r w:rsidRPr="004A7599">
        <w:rPr>
          <w:lang w:eastAsia="en-AU"/>
        </w:rPr>
        <w:t xml:space="preserve"> and </w:t>
      </w:r>
      <w:r w:rsidRPr="004A7599">
        <w:rPr>
          <w:rFonts w:cs="Arial"/>
          <w:lang w:eastAsia="en-AU"/>
        </w:rPr>
        <w:t>β</w:t>
      </w:r>
      <w:r w:rsidRPr="004A7599">
        <w:rPr>
          <w:lang w:eastAsia="en-AU"/>
        </w:rPr>
        <w:t xml:space="preserve"> forms</w:t>
      </w:r>
      <w:r>
        <w:rPr>
          <w:lang w:eastAsia="en-AU"/>
        </w:rPr>
        <w:t xml:space="preserve">. </w:t>
      </w:r>
      <w:r w:rsidR="005A4C20">
        <w:rPr>
          <w:lang w:eastAsia="en-AU"/>
        </w:rPr>
        <w:t xml:space="preserve">Full details </w:t>
      </w:r>
      <w:r w:rsidRPr="004A7599">
        <w:rPr>
          <w:lang w:eastAsia="en-AU"/>
        </w:rPr>
        <w:t xml:space="preserve">of the NMR </w:t>
      </w:r>
      <w:r>
        <w:rPr>
          <w:lang w:eastAsia="en-AU"/>
        </w:rPr>
        <w:t>analyses</w:t>
      </w:r>
      <w:r w:rsidR="005A4C20">
        <w:rPr>
          <w:lang w:eastAsia="en-AU"/>
        </w:rPr>
        <w:t xml:space="preserve"> were provided </w:t>
      </w:r>
      <w:r w:rsidR="005A4C20">
        <w:rPr>
          <w:rFonts w:cs="Arial"/>
        </w:rPr>
        <w:t>for assessment but cannot be disclosed because it is</w:t>
      </w:r>
      <w:r w:rsidRPr="004A7599">
        <w:rPr>
          <w:lang w:eastAsia="en-AU"/>
        </w:rPr>
        <w:t xml:space="preserve"> CCI. </w:t>
      </w:r>
    </w:p>
    <w:p w14:paraId="35CD48C5" w14:textId="1CB35C26" w:rsidR="002F7125" w:rsidRDefault="002F7125" w:rsidP="00533BF1">
      <w:pPr>
        <w:pStyle w:val="Heading2"/>
      </w:pPr>
      <w:bookmarkStart w:id="577" w:name="_Toc515634590"/>
      <w:bookmarkStart w:id="578" w:name="_Toc517451204"/>
      <w:bookmarkStart w:id="579" w:name="_Toc518397309"/>
      <w:bookmarkStart w:id="580" w:name="_Toc518400835"/>
      <w:bookmarkStart w:id="581" w:name="_Toc518475267"/>
      <w:bookmarkStart w:id="582" w:name="_Toc518478864"/>
      <w:bookmarkStart w:id="583" w:name="_Toc518995915"/>
      <w:bookmarkStart w:id="584" w:name="_Toc519260318"/>
      <w:bookmarkStart w:id="585" w:name="_Toc519260644"/>
      <w:bookmarkStart w:id="586" w:name="_Toc519607925"/>
      <w:bookmarkStart w:id="587" w:name="_Toc521418040"/>
      <w:bookmarkStart w:id="588" w:name="_Toc63866416"/>
      <w:bookmarkStart w:id="589" w:name="_Toc63863846"/>
      <w:bookmarkStart w:id="590" w:name="_Toc65509086"/>
      <w:bookmarkStart w:id="591" w:name="_Toc65587217"/>
      <w:bookmarkStart w:id="592" w:name="_Toc65587233"/>
      <w:bookmarkStart w:id="593" w:name="_Toc65682797"/>
      <w:bookmarkStart w:id="594" w:name="_Toc65764338"/>
      <w:bookmarkStart w:id="595" w:name="_Toc65764671"/>
      <w:bookmarkStart w:id="596" w:name="_Toc65841240"/>
      <w:bookmarkStart w:id="597" w:name="_Toc65578823"/>
      <w:bookmarkStart w:id="598" w:name="_Toc66443255"/>
      <w:bookmarkStart w:id="599" w:name="_Toc66436811"/>
      <w:bookmarkStart w:id="600" w:name="_Toc66458163"/>
      <w:bookmarkStart w:id="601" w:name="_Toc66451437"/>
      <w:bookmarkStart w:id="602" w:name="_Toc66458830"/>
      <w:bookmarkStart w:id="603" w:name="_Toc66458963"/>
      <w:bookmarkStart w:id="604" w:name="_Toc66461658"/>
      <w:bookmarkStart w:id="605" w:name="_Toc69899767"/>
      <w:r>
        <w:t>Manufacturing processes</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1F6D8922" w14:textId="44C2E7FA" w:rsidR="002F7125" w:rsidRDefault="00785570" w:rsidP="00BB2AF3">
      <w:pPr>
        <w:pStyle w:val="Heading3"/>
        <w:ind w:left="851" w:hanging="851"/>
      </w:pPr>
      <w:bookmarkStart w:id="606" w:name="_Toc515634591"/>
      <w:bookmarkStart w:id="607" w:name="_Toc517451205"/>
      <w:bookmarkStart w:id="608" w:name="_Toc518397310"/>
      <w:bookmarkStart w:id="609" w:name="_Toc518400836"/>
      <w:bookmarkStart w:id="610" w:name="_Toc518475268"/>
      <w:bookmarkStart w:id="611" w:name="_Toc518478865"/>
      <w:bookmarkStart w:id="612" w:name="_Toc518995916"/>
      <w:bookmarkStart w:id="613" w:name="_Toc519260319"/>
      <w:bookmarkStart w:id="614" w:name="_Toc519260645"/>
      <w:bookmarkStart w:id="615" w:name="_Toc519607926"/>
      <w:bookmarkStart w:id="616" w:name="_Toc521418041"/>
      <w:bookmarkStart w:id="617" w:name="_Toc63866417"/>
      <w:bookmarkStart w:id="618" w:name="_Toc63863847"/>
      <w:bookmarkStart w:id="619" w:name="_Toc65509087"/>
      <w:bookmarkStart w:id="620" w:name="_Toc65578824"/>
      <w:bookmarkStart w:id="621" w:name="_Toc65587218"/>
      <w:bookmarkStart w:id="622" w:name="_Toc65587234"/>
      <w:bookmarkStart w:id="623" w:name="_Toc65682798"/>
      <w:bookmarkStart w:id="624" w:name="_Toc65764339"/>
      <w:bookmarkStart w:id="625" w:name="_Toc65764672"/>
      <w:bookmarkStart w:id="626" w:name="_Toc65841241"/>
      <w:bookmarkStart w:id="627" w:name="_Toc66443256"/>
      <w:bookmarkStart w:id="628" w:name="_Toc66436812"/>
      <w:bookmarkStart w:id="629" w:name="_Toc66458164"/>
      <w:bookmarkStart w:id="630" w:name="_Toc66451438"/>
      <w:bookmarkStart w:id="631" w:name="_Toc66458831"/>
      <w:bookmarkStart w:id="632" w:name="_Toc66458964"/>
      <w:bookmarkStart w:id="633" w:name="_Toc66461659"/>
      <w:bookmarkStart w:id="634" w:name="_Toc69899768"/>
      <w:r>
        <w:t>4</w:t>
      </w:r>
      <w:r w:rsidR="002F7125">
        <w:t>.3.1</w:t>
      </w:r>
      <w:r w:rsidR="002F7125">
        <w:tab/>
        <w:t>Production of nicotinamide riboside chloride</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48328F7A" w14:textId="77777777" w:rsidR="002F7125" w:rsidRDefault="002F7125" w:rsidP="002F7125">
      <w:r>
        <w:t xml:space="preserve">The applicant has provided details of the manufacturing processes for </w:t>
      </w:r>
      <w:r>
        <w:rPr>
          <w:lang w:eastAsia="en-AU"/>
        </w:rPr>
        <w:t xml:space="preserve">NRC </w:t>
      </w:r>
      <w:r>
        <w:t xml:space="preserve">including a description of the raw materials and processing aids, purification and isolation, and quality controls. Detailed information was provided as CCI information. </w:t>
      </w:r>
    </w:p>
    <w:p w14:paraId="56B72904" w14:textId="77777777" w:rsidR="002F7125" w:rsidRDefault="002F7125" w:rsidP="002F7125"/>
    <w:p w14:paraId="4BAD554B" w14:textId="77777777" w:rsidR="002F7125" w:rsidRDefault="002F7125" w:rsidP="002F7125">
      <w:r>
        <w:t xml:space="preserve">Manufacturing of </w:t>
      </w:r>
      <w:r>
        <w:rPr>
          <w:lang w:eastAsia="en-AU"/>
        </w:rPr>
        <w:t>NRC</w:t>
      </w:r>
      <w:r>
        <w:t xml:space="preserve"> is stated to be conducted in accordance with Good Manufacturing Practices (GMP) and HAACP principles. </w:t>
      </w:r>
      <w:r w:rsidRPr="00C07ED1">
        <w:t>NR</w:t>
      </w:r>
      <w:r>
        <w:t>C</w:t>
      </w:r>
      <w:r w:rsidRPr="00C07ED1">
        <w:t xml:space="preserve"> is produced via a two-step chemical synthesis process, described in</w:t>
      </w:r>
      <w:r>
        <w:t xml:space="preserve"> </w:t>
      </w:r>
      <w:r w:rsidRPr="00C07ED1">
        <w:t xml:space="preserve">section </w:t>
      </w:r>
      <w:r>
        <w:t xml:space="preserve">II, </w:t>
      </w:r>
      <w:r w:rsidRPr="00C07ED1">
        <w:t xml:space="preserve">B.4 of the application. </w:t>
      </w:r>
    </w:p>
    <w:p w14:paraId="53AE0C17" w14:textId="77777777" w:rsidR="002F7125" w:rsidRDefault="002F7125" w:rsidP="002F7125">
      <w:pPr>
        <w:pStyle w:val="Default"/>
        <w:rPr>
          <w:rFonts w:cs="Times New Roman"/>
          <w:color w:val="auto"/>
          <w:sz w:val="22"/>
          <w:lang w:bidi="en-US"/>
        </w:rPr>
      </w:pPr>
    </w:p>
    <w:p w14:paraId="5712B322" w14:textId="18FD375D" w:rsidR="002F7125" w:rsidRDefault="002F7125" w:rsidP="002F7125">
      <w:pPr>
        <w:pStyle w:val="Default"/>
        <w:rPr>
          <w:rFonts w:cs="Times New Roman"/>
          <w:color w:val="auto"/>
          <w:sz w:val="22"/>
          <w:lang w:bidi="en-US"/>
        </w:rPr>
      </w:pPr>
      <w:r>
        <w:rPr>
          <w:rFonts w:cs="Times New Roman"/>
          <w:color w:val="auto"/>
          <w:sz w:val="22"/>
          <w:lang w:bidi="en-US"/>
        </w:rPr>
        <w:t>According to the application</w:t>
      </w:r>
      <w:r w:rsidDel="00EB0D4B">
        <w:rPr>
          <w:rFonts w:cs="Times New Roman"/>
          <w:color w:val="auto"/>
          <w:sz w:val="22"/>
          <w:lang w:bidi="en-US"/>
        </w:rPr>
        <w:t>,</w:t>
      </w:r>
      <w:r>
        <w:rPr>
          <w:rFonts w:cs="Times New Roman"/>
          <w:color w:val="auto"/>
          <w:sz w:val="22"/>
          <w:lang w:bidi="en-US"/>
        </w:rPr>
        <w:t xml:space="preserve"> under step one, </w:t>
      </w:r>
      <w:r w:rsidRPr="00C07ED1">
        <w:rPr>
          <w:rFonts w:cs="Times New Roman"/>
          <w:color w:val="auto"/>
          <w:sz w:val="22"/>
          <w:lang w:bidi="en-US"/>
        </w:rPr>
        <w:t xml:space="preserve">the starting material of D-ribofuranose tetra-acetate is reacted with hydrochloric acid to generate the D-ribofuranose triacetate chloride. </w:t>
      </w:r>
      <w:r>
        <w:rPr>
          <w:rFonts w:cs="Times New Roman"/>
          <w:color w:val="auto"/>
          <w:sz w:val="22"/>
          <w:lang w:bidi="en-US"/>
        </w:rPr>
        <w:t>T</w:t>
      </w:r>
      <w:r w:rsidRPr="00C07ED1">
        <w:rPr>
          <w:rFonts w:cs="Times New Roman"/>
          <w:color w:val="auto"/>
          <w:sz w:val="22"/>
          <w:lang w:bidi="en-US"/>
        </w:rPr>
        <w:t xml:space="preserve">he solution is sampled for reaction completion by quantifying the amount of D-ribofuranose triacetate chloride </w:t>
      </w:r>
      <w:r>
        <w:rPr>
          <w:rFonts w:cs="Times New Roman"/>
          <w:color w:val="auto"/>
          <w:sz w:val="22"/>
          <w:lang w:bidi="en-US"/>
        </w:rPr>
        <w:t xml:space="preserve">(the reaction intermediate) </w:t>
      </w:r>
      <w:r w:rsidRPr="00C07ED1">
        <w:rPr>
          <w:rFonts w:cs="Times New Roman"/>
          <w:color w:val="auto"/>
          <w:sz w:val="22"/>
          <w:lang w:bidi="en-US"/>
        </w:rPr>
        <w:t xml:space="preserve">via </w:t>
      </w:r>
      <w:r>
        <w:rPr>
          <w:rFonts w:cs="Times New Roman"/>
          <w:color w:val="auto"/>
          <w:sz w:val="22"/>
          <w:lang w:bidi="en-US"/>
        </w:rPr>
        <w:t>NMR</w:t>
      </w:r>
      <w:r w:rsidRPr="00C07ED1">
        <w:rPr>
          <w:rFonts w:cs="Times New Roman"/>
          <w:color w:val="auto"/>
          <w:sz w:val="22"/>
          <w:lang w:bidi="en-US"/>
        </w:rPr>
        <w:t xml:space="preserve">. When the reaction is complete, nicotinamide is </w:t>
      </w:r>
      <w:r>
        <w:rPr>
          <w:rFonts w:cs="Times New Roman"/>
          <w:color w:val="auto"/>
          <w:sz w:val="22"/>
          <w:lang w:bidi="en-US"/>
        </w:rPr>
        <w:t>added</w:t>
      </w:r>
      <w:r w:rsidRPr="00C07ED1">
        <w:rPr>
          <w:rFonts w:cs="Times New Roman"/>
          <w:color w:val="auto"/>
          <w:sz w:val="22"/>
          <w:lang w:bidi="en-US"/>
        </w:rPr>
        <w:t xml:space="preserve"> to the mixture. The mixture is then stirred until the reaction to nicotinamide ribofuranose triacetate chloride is complete (Figure </w:t>
      </w:r>
      <w:r>
        <w:rPr>
          <w:rFonts w:cs="Times New Roman"/>
          <w:color w:val="auto"/>
          <w:sz w:val="22"/>
          <w:lang w:bidi="en-US"/>
        </w:rPr>
        <w:t xml:space="preserve">2 </w:t>
      </w:r>
      <w:r w:rsidRPr="00C07ED1">
        <w:rPr>
          <w:rFonts w:cs="Times New Roman"/>
          <w:color w:val="auto"/>
          <w:sz w:val="22"/>
          <w:lang w:bidi="en-US"/>
        </w:rPr>
        <w:t xml:space="preserve">). The filter-cake is then analysed for nicotinamide-β-ribofuranose triacetate and held for use in Step 2 of the reaction. </w:t>
      </w:r>
    </w:p>
    <w:p w14:paraId="036F04F5" w14:textId="77777777" w:rsidR="002F7125" w:rsidRPr="00C07ED1" w:rsidRDefault="002F7125" w:rsidP="002F7125">
      <w:pPr>
        <w:pStyle w:val="Default"/>
        <w:rPr>
          <w:rFonts w:cs="Times New Roman"/>
          <w:color w:val="auto"/>
          <w:sz w:val="22"/>
          <w:lang w:bidi="en-US"/>
        </w:rPr>
      </w:pPr>
    </w:p>
    <w:p w14:paraId="551DEA2B" w14:textId="77777777" w:rsidR="002F7125" w:rsidRDefault="002F7125" w:rsidP="002F7125">
      <w:r w:rsidRPr="00C07ED1">
        <w:t xml:space="preserve">In the second step, nicotinamide-β-ribofuranose triacetate chloride is deacetylated and washed to yield nicotinamide-β-riboside chloride, NIAGEN® (Figure </w:t>
      </w:r>
      <w:r>
        <w:t>3</w:t>
      </w:r>
      <w:r w:rsidRPr="00C07ED1">
        <w:t>).</w:t>
      </w:r>
    </w:p>
    <w:p w14:paraId="77AD522D" w14:textId="77777777" w:rsidR="002F7125" w:rsidRDefault="002F7125" w:rsidP="002F7125"/>
    <w:p w14:paraId="4F369164" w14:textId="475B396D" w:rsidR="002F7125" w:rsidRDefault="002F7125" w:rsidP="002F7125">
      <w:r>
        <w:t>The GRAS</w:t>
      </w:r>
      <w:r w:rsidDel="00D41036">
        <w:t xml:space="preserve"> </w:t>
      </w:r>
      <w:r w:rsidR="00D41036">
        <w:t xml:space="preserve">notification </w:t>
      </w:r>
      <w:hyperlink r:id="rId22" w:history="1">
        <w:r>
          <w:rPr>
            <w:rStyle w:val="Hyperlink"/>
          </w:rPr>
          <w:t>GRN635</w:t>
        </w:r>
      </w:hyperlink>
      <w:r>
        <w:t xml:space="preserve"> </w:t>
      </w:r>
      <w:r w:rsidR="00D41036">
        <w:t xml:space="preserve">to the </w:t>
      </w:r>
      <w:r w:rsidR="00445323" w:rsidRPr="00445323">
        <w:t xml:space="preserve">United States Food &amp; Drug Administration </w:t>
      </w:r>
      <w:r>
        <w:t>contains a detailed flow chart for the manufacture of NRC (USFDA, 2015 – see page 23 – 24).</w:t>
      </w:r>
    </w:p>
    <w:p w14:paraId="7B748BB5" w14:textId="77777777" w:rsidR="002F7125" w:rsidRDefault="002F7125" w:rsidP="002F7125">
      <w:pPr>
        <w:jc w:val="center"/>
      </w:pPr>
    </w:p>
    <w:p w14:paraId="41208B8D" w14:textId="77777777" w:rsidR="002F7125" w:rsidRDefault="002F7125" w:rsidP="002F7125">
      <w:pPr>
        <w:jc w:val="center"/>
      </w:pPr>
      <w:r w:rsidRPr="00097B57">
        <w:rPr>
          <w:noProof/>
          <w:lang w:eastAsia="en-GB" w:bidi="ar-SA"/>
        </w:rPr>
        <w:lastRenderedPageBreak/>
        <w:drawing>
          <wp:inline distT="0" distB="0" distL="0" distR="0" wp14:anchorId="62FF3162" wp14:editId="731672FC">
            <wp:extent cx="6537263" cy="221046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3430" cy="2212547"/>
                    </a:xfrm>
                    <a:prstGeom prst="rect">
                      <a:avLst/>
                    </a:prstGeom>
                    <a:noFill/>
                    <a:ln>
                      <a:noFill/>
                    </a:ln>
                  </pic:spPr>
                </pic:pic>
              </a:graphicData>
            </a:graphic>
          </wp:inline>
        </w:drawing>
      </w:r>
    </w:p>
    <w:p w14:paraId="1896702D" w14:textId="77777777" w:rsidR="002F7125" w:rsidRPr="00EC5859" w:rsidRDefault="002F7125" w:rsidP="002F7125">
      <w:pPr>
        <w:rPr>
          <w:i/>
        </w:rPr>
      </w:pPr>
      <w:r w:rsidRPr="00EC5859">
        <w:rPr>
          <w:b/>
          <w:bCs/>
          <w:i/>
          <w:szCs w:val="22"/>
        </w:rPr>
        <w:t xml:space="preserve">Figure 2. </w:t>
      </w:r>
      <w:r w:rsidRPr="003C777D">
        <w:rPr>
          <w:i/>
          <w:szCs w:val="22"/>
        </w:rPr>
        <w:t>Step 1 Chemical Reactions</w:t>
      </w:r>
    </w:p>
    <w:p w14:paraId="5E5A1A8E" w14:textId="77777777" w:rsidR="002F7125" w:rsidRDefault="002F7125" w:rsidP="002F7125"/>
    <w:p w14:paraId="41B999DE" w14:textId="77777777" w:rsidR="002F7125" w:rsidRDefault="002F7125" w:rsidP="002F7125">
      <w:pPr>
        <w:rPr>
          <w:b/>
          <w:bCs/>
          <w:szCs w:val="22"/>
        </w:rPr>
      </w:pPr>
      <w:r w:rsidRPr="00097B57">
        <w:rPr>
          <w:noProof/>
          <w:lang w:eastAsia="en-GB" w:bidi="ar-SA"/>
        </w:rPr>
        <w:drawing>
          <wp:inline distT="0" distB="0" distL="0" distR="0" wp14:anchorId="3F462D73" wp14:editId="024A7105">
            <wp:extent cx="4635611" cy="226101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43085" cy="2264656"/>
                    </a:xfrm>
                    <a:prstGeom prst="rect">
                      <a:avLst/>
                    </a:prstGeom>
                    <a:noFill/>
                    <a:ln>
                      <a:noFill/>
                    </a:ln>
                  </pic:spPr>
                </pic:pic>
              </a:graphicData>
            </a:graphic>
          </wp:inline>
        </w:drawing>
      </w:r>
      <w:r w:rsidRPr="00097B57">
        <w:rPr>
          <w:b/>
          <w:bCs/>
          <w:szCs w:val="22"/>
        </w:rPr>
        <w:t xml:space="preserve"> </w:t>
      </w:r>
    </w:p>
    <w:p w14:paraId="0850C327" w14:textId="77777777" w:rsidR="002F7125" w:rsidRDefault="002F7125" w:rsidP="002F7125">
      <w:r w:rsidRPr="00EC5859">
        <w:rPr>
          <w:b/>
          <w:bCs/>
          <w:i/>
          <w:szCs w:val="22"/>
        </w:rPr>
        <w:t xml:space="preserve">Figure 3. </w:t>
      </w:r>
      <w:r w:rsidRPr="003C777D">
        <w:rPr>
          <w:i/>
          <w:szCs w:val="22"/>
        </w:rPr>
        <w:t>Step 2 Chemical Reaction</w:t>
      </w:r>
    </w:p>
    <w:p w14:paraId="1D5B590E" w14:textId="77777777" w:rsidR="002F7125" w:rsidRDefault="002F7125" w:rsidP="002F7125"/>
    <w:p w14:paraId="5474362B" w14:textId="64CDEB03" w:rsidR="002F7125" w:rsidRDefault="002F7125" w:rsidP="002F7125">
      <w:r>
        <w:t xml:space="preserve">The applicant provided details on solvents and other substances used in chemical synthesis  of NRC, as additional information to the application.. The solvents are as follows: acetone, methyl t-butyl ether, acetonitrile, and methanol. The substances are as follows: sodium carbonate, acetyl chloride, hydrochloric acid (gas), tributyl amine, ammonia hydroxide and sulphuric acid. Acetic acid, methyl acetate and acetamide are produced as reaction by-products and are controlled by limits in the product specification. Section </w:t>
      </w:r>
      <w:r w:rsidR="0084099A">
        <w:t>4</w:t>
      </w:r>
      <w:r>
        <w:t>.4 discusses the proposed specification for NRC, and includes limits for residual solvents and reaction by-products</w:t>
      </w:r>
      <w:bookmarkStart w:id="635" w:name="_Toc515634594"/>
      <w:bookmarkStart w:id="636" w:name="_Toc517451208"/>
      <w:bookmarkStart w:id="637" w:name="_Toc518397313"/>
      <w:bookmarkStart w:id="638" w:name="_Toc518400839"/>
      <w:bookmarkStart w:id="639" w:name="_Toc518478868"/>
      <w:bookmarkStart w:id="640" w:name="_Toc518995919"/>
      <w:bookmarkStart w:id="641" w:name="_Toc519260322"/>
      <w:bookmarkStart w:id="642" w:name="_Toc519260648"/>
      <w:bookmarkStart w:id="643" w:name="_Toc519607929"/>
      <w:bookmarkStart w:id="644" w:name="_Toc521418044"/>
      <w:bookmarkStart w:id="645" w:name="Section2_3_4"/>
      <w:bookmarkStart w:id="646" w:name="_Toc518475271"/>
      <w:r>
        <w:t>.</w:t>
      </w:r>
    </w:p>
    <w:p w14:paraId="094EDF6C" w14:textId="5E813ED3" w:rsidR="002F7125" w:rsidRDefault="002F7125" w:rsidP="00533BF1">
      <w:pPr>
        <w:pStyle w:val="Heading2"/>
      </w:pPr>
      <w:bookmarkStart w:id="647" w:name="_Toc63866419"/>
      <w:bookmarkStart w:id="648" w:name="_Toc63863849"/>
      <w:bookmarkStart w:id="649" w:name="_Toc65509088"/>
      <w:bookmarkStart w:id="650" w:name="_Toc65587219"/>
      <w:bookmarkStart w:id="651" w:name="_Toc65587235"/>
      <w:bookmarkStart w:id="652" w:name="_Toc65682799"/>
      <w:bookmarkStart w:id="653" w:name="_Toc65764340"/>
      <w:bookmarkStart w:id="654" w:name="_Toc65764673"/>
      <w:bookmarkStart w:id="655" w:name="_Toc65841242"/>
      <w:bookmarkStart w:id="656" w:name="_Toc65578825"/>
      <w:bookmarkStart w:id="657" w:name="_Toc66443257"/>
      <w:bookmarkStart w:id="658" w:name="_Toc66436813"/>
      <w:bookmarkStart w:id="659" w:name="_Toc66458165"/>
      <w:bookmarkStart w:id="660" w:name="_Toc66451439"/>
      <w:bookmarkStart w:id="661" w:name="_Toc66458832"/>
      <w:bookmarkStart w:id="662" w:name="_Toc66458965"/>
      <w:bookmarkStart w:id="663" w:name="_Toc66461660"/>
      <w:bookmarkStart w:id="664" w:name="_Toc69899769"/>
      <w:r>
        <w:t>Product specifications</w:t>
      </w:r>
      <w:bookmarkEnd w:id="635"/>
      <w:bookmarkEnd w:id="636"/>
      <w:bookmarkEnd w:id="637"/>
      <w:bookmarkEnd w:id="638"/>
      <w:bookmarkEnd w:id="639"/>
      <w:bookmarkEnd w:id="640"/>
      <w:bookmarkEnd w:id="641"/>
      <w:bookmarkEnd w:id="642"/>
      <w:bookmarkEnd w:id="643"/>
      <w:bookmarkEnd w:id="644"/>
      <w:bookmarkEnd w:id="645"/>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bookmarkEnd w:id="646"/>
    <w:p w14:paraId="31DDF6DF" w14:textId="77777777" w:rsidR="002F7125" w:rsidRDefault="002F7125" w:rsidP="002F7125">
      <w:pPr>
        <w:jc w:val="both"/>
      </w:pPr>
      <w:r>
        <w:rPr>
          <w:lang w:eastAsia="en-AU"/>
        </w:rPr>
        <w:t>The Code (</w:t>
      </w:r>
      <w:r w:rsidRPr="004B54BE">
        <w:rPr>
          <w:lang w:eastAsia="en-AU"/>
        </w:rPr>
        <w:t>Section 1.1.1—15</w:t>
      </w:r>
      <w:r>
        <w:rPr>
          <w:lang w:eastAsia="en-AU"/>
        </w:rPr>
        <w:t>)</w:t>
      </w:r>
      <w:r w:rsidRPr="004B54BE">
        <w:rPr>
          <w:lang w:eastAsia="en-AU"/>
        </w:rPr>
        <w:t xml:space="preserve"> requires substances to comply with relevant specifications. </w:t>
      </w:r>
      <w:r>
        <w:rPr>
          <w:lang w:eastAsia="en-AU"/>
        </w:rPr>
        <w:t>The  specifications are listed in Schedule 3 (Identity and Purity) of the Code. NRC is not</w:t>
      </w:r>
      <w:r>
        <w:t xml:space="preserve"> covered under existing specifications listed in Schedule 3. </w:t>
      </w:r>
    </w:p>
    <w:p w14:paraId="2B548B2D" w14:textId="77777777" w:rsidR="002F7125" w:rsidRDefault="002F7125" w:rsidP="002F7125">
      <w:pPr>
        <w:jc w:val="both"/>
      </w:pPr>
    </w:p>
    <w:p w14:paraId="656BFFBB" w14:textId="51A2D4D0" w:rsidR="002F7125" w:rsidRDefault="00D43216" w:rsidP="002F7125">
      <w:pPr>
        <w:jc w:val="both"/>
      </w:pPr>
      <w:r>
        <w:t xml:space="preserve">As noted above, </w:t>
      </w:r>
      <w:r w:rsidR="002F7125">
        <w:t xml:space="preserve">NRC has been approved for use in the EU as a novel food when in </w:t>
      </w:r>
      <w:r w:rsidR="002F7125" w:rsidRPr="00A54CDD">
        <w:rPr>
          <w:i/>
        </w:rPr>
        <w:t>supplement form</w:t>
      </w:r>
      <w:r w:rsidR="002F7125">
        <w:rPr>
          <w:rStyle w:val="FootnoteReference"/>
          <w:i/>
        </w:rPr>
        <w:footnoteReference w:id="4"/>
      </w:r>
      <w:r w:rsidR="002F7125">
        <w:t xml:space="preserve">. The substance has also been assessed to be added to a number of foods under GRAS </w:t>
      </w:r>
      <w:r w:rsidR="00445323">
        <w:t xml:space="preserve">notification </w:t>
      </w:r>
      <w:hyperlink r:id="rId25" w:history="1">
        <w:r w:rsidR="002F7125">
          <w:rPr>
            <w:rStyle w:val="Hyperlink"/>
          </w:rPr>
          <w:t>GRN635</w:t>
        </w:r>
      </w:hyperlink>
      <w:r w:rsidR="002F7125">
        <w:t xml:space="preserve"> in the USA. As such, the applicant has proposed specifications that have been defined in these jurisdictions (Table B.5-1 of the application). These specifications prescribe a minimum purity of NRC of 90%, and maximum amounts for residual solvents, reaction by-products, microbiological limits, and heavy metals. </w:t>
      </w:r>
    </w:p>
    <w:p w14:paraId="7B3EA696" w14:textId="77777777" w:rsidR="002F7125" w:rsidRDefault="002F7125" w:rsidP="002F7125">
      <w:pPr>
        <w:jc w:val="both"/>
      </w:pPr>
    </w:p>
    <w:p w14:paraId="2D89B9C9" w14:textId="7E6DA27F" w:rsidR="002F7125" w:rsidRDefault="002F7125" w:rsidP="002F7125">
      <w:pPr>
        <w:jc w:val="both"/>
      </w:pPr>
      <w:r>
        <w:t>The applicant p</w:t>
      </w:r>
      <w:r w:rsidRPr="007A7757">
        <w:t>rovide</w:t>
      </w:r>
      <w:r>
        <w:t>d</w:t>
      </w:r>
      <w:r w:rsidRPr="007A7757">
        <w:t xml:space="preserve"> </w:t>
      </w:r>
      <w:r>
        <w:t xml:space="preserve">Certificates of Analysis as CCI for five non-consecutive </w:t>
      </w:r>
      <w:r w:rsidRPr="007A7757">
        <w:t xml:space="preserve">batches of </w:t>
      </w:r>
      <w:r>
        <w:t>NRC</w:t>
      </w:r>
      <w:r w:rsidRPr="007A7757">
        <w:t xml:space="preserve"> to demonstrate that the product meets </w:t>
      </w:r>
      <w:r>
        <w:t xml:space="preserve">the proposed </w:t>
      </w:r>
      <w:r w:rsidRPr="007A7757">
        <w:t>specifications</w:t>
      </w:r>
      <w:r>
        <w:t xml:space="preserve">. </w:t>
      </w:r>
      <w:r w:rsidRPr="00EA22CA">
        <w:t>Results were consistent across all batches tested for each substance.</w:t>
      </w:r>
      <w:r>
        <w:t xml:space="preserve"> The Certificates of Analysis indicate that the substance meets S3—4 requirements for lead, arsenic, cadmium and mercury.</w:t>
      </w:r>
    </w:p>
    <w:p w14:paraId="17A92013" w14:textId="77777777" w:rsidR="002F7125" w:rsidRDefault="002F7125" w:rsidP="002F7125">
      <w:pPr>
        <w:jc w:val="both"/>
      </w:pPr>
    </w:p>
    <w:p w14:paraId="4E403A64" w14:textId="77AB9409" w:rsidR="002F7125" w:rsidRDefault="002F7125" w:rsidP="002F7125">
      <w:pPr>
        <w:jc w:val="both"/>
      </w:pPr>
      <w:r>
        <w:t xml:space="preserve">The specification proposed for inclusion in the Code is shown below in </w:t>
      </w:r>
      <w:r w:rsidRPr="00F00106">
        <w:rPr>
          <w:b/>
        </w:rPr>
        <w:t xml:space="preserve">Table </w:t>
      </w:r>
      <w:r w:rsidR="00EE36FE" w:rsidRPr="00F00106">
        <w:rPr>
          <w:b/>
        </w:rPr>
        <w:t>4</w:t>
      </w:r>
      <w:r>
        <w:t xml:space="preserve">. This specification is consistent with the EU and US GRAS </w:t>
      </w:r>
      <w:r w:rsidR="00445323">
        <w:t xml:space="preserve">notification </w:t>
      </w:r>
      <w:r>
        <w:t>specifications, including the listing of residual solvents and reaction by-products. These parameters are proposed for inclusion in Schedule 3, as they represent and characterise the commercial proprietary product on which the safety studies were conducted.</w:t>
      </w:r>
    </w:p>
    <w:p w14:paraId="110CDEBB" w14:textId="77777777" w:rsidR="002F7125" w:rsidRDefault="002F7125" w:rsidP="002F7125">
      <w:pPr>
        <w:jc w:val="both"/>
      </w:pPr>
    </w:p>
    <w:p w14:paraId="35C95B97" w14:textId="77777777" w:rsidR="002F7125" w:rsidRDefault="002F7125" w:rsidP="002F7125">
      <w:pPr>
        <w:jc w:val="both"/>
      </w:pPr>
      <w:r>
        <w:t xml:space="preserve">The methods in column 3 of the table are not proposed to be included in Schedule 3, as they are either confidential to the applicant or standard methods. </w:t>
      </w:r>
    </w:p>
    <w:p w14:paraId="08CB776A" w14:textId="77777777" w:rsidR="002F7125" w:rsidRDefault="002F7125" w:rsidP="002F7125">
      <w:pPr>
        <w:jc w:val="both"/>
      </w:pPr>
    </w:p>
    <w:p w14:paraId="00B0E2E5" w14:textId="10B9549B" w:rsidR="002F7125" w:rsidRPr="00FB67BF" w:rsidRDefault="002F7125" w:rsidP="002F7125">
      <w:pPr>
        <w:widowControl/>
        <w:rPr>
          <w:rFonts w:cs="Arial"/>
          <w:b/>
          <w:szCs w:val="22"/>
        </w:rPr>
      </w:pPr>
      <w:bookmarkStart w:id="665" w:name="Table2_3"/>
      <w:r w:rsidRPr="00FB67BF">
        <w:rPr>
          <w:rFonts w:cs="Arial"/>
          <w:b/>
          <w:i/>
          <w:szCs w:val="22"/>
        </w:rPr>
        <w:t xml:space="preserve">Table </w:t>
      </w:r>
      <w:r w:rsidR="00EE36FE" w:rsidRPr="00FB67BF">
        <w:rPr>
          <w:rFonts w:cs="Arial"/>
          <w:b/>
          <w:i/>
          <w:szCs w:val="22"/>
        </w:rPr>
        <w:t>4</w:t>
      </w:r>
      <w:r w:rsidRPr="00FB67BF">
        <w:rPr>
          <w:rFonts w:cs="Arial"/>
          <w:b/>
          <w:i/>
          <w:szCs w:val="22"/>
        </w:rPr>
        <w:t>.</w:t>
      </w:r>
      <w:bookmarkEnd w:id="665"/>
      <w:r w:rsidRPr="00FB67BF">
        <w:rPr>
          <w:rFonts w:cs="Arial"/>
          <w:b/>
          <w:i/>
          <w:szCs w:val="22"/>
        </w:rPr>
        <w:tab/>
      </w:r>
      <w:r w:rsidRPr="00FB67BF">
        <w:rPr>
          <w:rFonts w:cs="Arial"/>
          <w:b/>
          <w:szCs w:val="22"/>
        </w:rPr>
        <w:t xml:space="preserve">Product specifications proposed for </w:t>
      </w:r>
      <w:r w:rsidRPr="00FB67BF">
        <w:rPr>
          <w:rFonts w:cs="Arial"/>
          <w:b/>
          <w:szCs w:val="22"/>
          <w:lang w:eastAsia="en-AU"/>
        </w:rPr>
        <w:t xml:space="preserve">nicotinamide riboside chloride </w:t>
      </w:r>
      <w:r w:rsidRPr="00FB67BF">
        <w:rPr>
          <w:rFonts w:cs="Arial"/>
          <w:b/>
          <w:szCs w:val="22"/>
        </w:rPr>
        <w:t>(adapted from application)</w:t>
      </w:r>
    </w:p>
    <w:p w14:paraId="1CFD2650" w14:textId="77777777" w:rsidR="00FB67BF" w:rsidRPr="00D0230B" w:rsidRDefault="00FB67BF" w:rsidP="002F7125">
      <w:pPr>
        <w:widowControl/>
        <w:rPr>
          <w:rFonts w:cs="Arial"/>
          <w:b/>
          <w:i/>
          <w:szCs w:val="22"/>
        </w:rPr>
      </w:pPr>
    </w:p>
    <w:tbl>
      <w:tblPr>
        <w:tblStyle w:val="Table"/>
        <w:tblW w:w="5001" w:type="pct"/>
        <w:tblLook w:val="00A0" w:firstRow="1" w:lastRow="0" w:firstColumn="1" w:lastColumn="0" w:noHBand="0" w:noVBand="0"/>
        <w:tblCaption w:val="Table 2.3 Product specifications proposed for 2'-FL"/>
        <w:tblDescription w:val="Product specifications proposed by the applicant for 2'-FL"/>
      </w:tblPr>
      <w:tblGrid>
        <w:gridCol w:w="2691"/>
        <w:gridCol w:w="2833"/>
        <w:gridCol w:w="3538"/>
      </w:tblGrid>
      <w:tr w:rsidR="002F7125" w:rsidRPr="003E137B" w14:paraId="1880E319" w14:textId="77777777" w:rsidTr="00A8228D">
        <w:trPr>
          <w:cnfStyle w:val="100000000000" w:firstRow="1" w:lastRow="0" w:firstColumn="0" w:lastColumn="0" w:oddVBand="0" w:evenVBand="0" w:oddHBand="0" w:evenHBand="0" w:firstRowFirstColumn="0" w:firstRowLastColumn="0" w:lastRowFirstColumn="0" w:lastRowLastColumn="0"/>
          <w:trHeight w:val="397"/>
          <w:tblHeader/>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14:paraId="36B38A9B" w14:textId="77777777" w:rsidR="002F7125" w:rsidRPr="00D0230B" w:rsidRDefault="002F7125" w:rsidP="00CB4C6A">
            <w:pPr>
              <w:spacing w:before="0" w:after="0"/>
              <w:rPr>
                <w:rFonts w:cs="Arial"/>
                <w:color w:val="auto"/>
                <w:szCs w:val="22"/>
              </w:rPr>
            </w:pPr>
            <w:r w:rsidRPr="00D0230B">
              <w:rPr>
                <w:rFonts w:cs="Arial"/>
                <w:color w:val="auto"/>
                <w:szCs w:val="22"/>
              </w:rPr>
              <w:t>Parameter</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20D91C7D" w14:textId="77777777" w:rsidR="002F7125" w:rsidRPr="00D0230B" w:rsidRDefault="002F7125" w:rsidP="00CB4C6A">
            <w:pPr>
              <w:spacing w:before="0" w:after="0"/>
              <w:rPr>
                <w:rFonts w:cs="Arial"/>
                <w:color w:val="auto"/>
                <w:szCs w:val="22"/>
              </w:rPr>
            </w:pPr>
            <w:r w:rsidRPr="00D0230B">
              <w:rPr>
                <w:rFonts w:cs="Arial"/>
                <w:color w:val="auto"/>
                <w:szCs w:val="22"/>
              </w:rPr>
              <w:t>Specification</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44269DCF" w14:textId="77777777" w:rsidR="002F7125" w:rsidRPr="00D0230B" w:rsidRDefault="002F7125" w:rsidP="00CB4C6A">
            <w:pPr>
              <w:spacing w:before="0" w:after="0"/>
              <w:rPr>
                <w:rFonts w:cs="Arial"/>
                <w:color w:val="auto"/>
                <w:szCs w:val="22"/>
              </w:rPr>
            </w:pPr>
            <w:r w:rsidRPr="00D0230B">
              <w:rPr>
                <w:rFonts w:cs="Arial"/>
                <w:color w:val="auto"/>
                <w:szCs w:val="22"/>
              </w:rPr>
              <w:t>Method</w:t>
            </w:r>
          </w:p>
        </w:tc>
      </w:tr>
      <w:tr w:rsidR="002F7125" w:rsidRPr="003E137B" w14:paraId="3FB63E82" w14:textId="77777777" w:rsidTr="00A8228D">
        <w:trPr>
          <w:cnfStyle w:val="000000100000" w:firstRow="0" w:lastRow="0" w:firstColumn="0" w:lastColumn="0" w:oddVBand="0" w:evenVBand="0" w:oddHBand="1" w:evenHBand="0"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4E1D8" w14:textId="77777777" w:rsidR="002F7125" w:rsidRPr="00D0230B" w:rsidRDefault="002F7125" w:rsidP="00CB4C6A">
            <w:pPr>
              <w:spacing w:before="0" w:after="0"/>
              <w:rPr>
                <w:rFonts w:cs="Arial"/>
                <w:szCs w:val="22"/>
              </w:rPr>
            </w:pPr>
            <w:r w:rsidRPr="00D0230B">
              <w:rPr>
                <w:rFonts w:cs="Arial"/>
                <w:szCs w:val="22"/>
              </w:rPr>
              <w:t>Form</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21A8D1F2" w14:textId="77777777" w:rsidR="002F7125" w:rsidRPr="00D0230B" w:rsidRDefault="002F7125" w:rsidP="00CB4C6A">
            <w:pPr>
              <w:spacing w:before="0" w:after="0"/>
              <w:rPr>
                <w:rFonts w:cs="Arial"/>
                <w:szCs w:val="22"/>
              </w:rPr>
            </w:pPr>
            <w:r w:rsidRPr="00D0230B">
              <w:rPr>
                <w:rFonts w:cs="Arial"/>
                <w:szCs w:val="22"/>
              </w:rPr>
              <w:t xml:space="preserve">Powder </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48AE669" w14:textId="77777777" w:rsidR="002F7125" w:rsidRPr="00D0230B" w:rsidRDefault="002F7125" w:rsidP="00CB4C6A">
            <w:pPr>
              <w:spacing w:before="0" w:after="0"/>
              <w:rPr>
                <w:rFonts w:cs="Arial"/>
                <w:szCs w:val="22"/>
              </w:rPr>
            </w:pPr>
            <w:r w:rsidRPr="00D0230B">
              <w:rPr>
                <w:rFonts w:cs="Arial"/>
                <w:szCs w:val="22"/>
              </w:rPr>
              <w:t>visual</w:t>
            </w:r>
          </w:p>
        </w:tc>
      </w:tr>
      <w:tr w:rsidR="002F7125" w:rsidRPr="003E137B" w14:paraId="346BE40F" w14:textId="77777777" w:rsidTr="00A8228D">
        <w:trPr>
          <w:cnfStyle w:val="000000010000" w:firstRow="0" w:lastRow="0" w:firstColumn="0" w:lastColumn="0" w:oddVBand="0" w:evenVBand="0" w:oddHBand="0" w:evenHBand="1"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8DE70" w14:textId="77777777" w:rsidR="002F7125" w:rsidRPr="00D0230B" w:rsidRDefault="002F7125" w:rsidP="00CB4C6A">
            <w:pPr>
              <w:spacing w:before="0" w:after="0"/>
              <w:rPr>
                <w:rFonts w:cs="Arial"/>
                <w:szCs w:val="22"/>
              </w:rPr>
            </w:pPr>
            <w:r w:rsidRPr="00D0230B">
              <w:rPr>
                <w:rFonts w:cs="Arial"/>
                <w:szCs w:val="22"/>
              </w:rPr>
              <w:t>Colour</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16CA4708" w14:textId="77777777" w:rsidR="002F7125" w:rsidRPr="00D0230B" w:rsidRDefault="002F7125" w:rsidP="00CB4C6A">
            <w:pPr>
              <w:spacing w:before="0" w:after="0"/>
              <w:rPr>
                <w:rFonts w:cs="Arial"/>
                <w:szCs w:val="22"/>
              </w:rPr>
            </w:pPr>
            <w:r w:rsidRPr="00D0230B">
              <w:rPr>
                <w:rFonts w:cs="Arial"/>
                <w:szCs w:val="22"/>
              </w:rPr>
              <w:t>White to light brown</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913B74D" w14:textId="77777777" w:rsidR="002F7125" w:rsidRPr="00D0230B" w:rsidRDefault="002F7125" w:rsidP="00CB4C6A">
            <w:pPr>
              <w:spacing w:before="0" w:after="0"/>
              <w:rPr>
                <w:rFonts w:cs="Arial"/>
                <w:szCs w:val="22"/>
              </w:rPr>
            </w:pPr>
            <w:r w:rsidRPr="00D0230B">
              <w:rPr>
                <w:rFonts w:cs="Arial"/>
                <w:szCs w:val="22"/>
              </w:rPr>
              <w:t>visual</w:t>
            </w:r>
          </w:p>
        </w:tc>
      </w:tr>
      <w:tr w:rsidR="002F7125" w:rsidRPr="003E137B" w14:paraId="2A304718" w14:textId="77777777" w:rsidTr="00A8228D">
        <w:trPr>
          <w:cnfStyle w:val="000000100000" w:firstRow="0" w:lastRow="0" w:firstColumn="0" w:lastColumn="0" w:oddVBand="0" w:evenVBand="0" w:oddHBand="1" w:evenHBand="0"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18DA2F" w14:textId="77777777" w:rsidR="002F7125" w:rsidRPr="00D0230B" w:rsidRDefault="002F7125" w:rsidP="00CB4C6A">
            <w:pPr>
              <w:spacing w:before="0" w:after="0"/>
              <w:rPr>
                <w:rFonts w:cs="Arial"/>
                <w:szCs w:val="22"/>
              </w:rPr>
            </w:pPr>
            <w:r w:rsidRPr="00D0230B">
              <w:rPr>
                <w:rFonts w:cs="Arial"/>
                <w:szCs w:val="22"/>
              </w:rPr>
              <w:t>Identification</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16770289" w14:textId="77777777" w:rsidR="002F7125" w:rsidRPr="00D0230B" w:rsidRDefault="002F7125" w:rsidP="00CB4C6A">
            <w:pPr>
              <w:spacing w:before="0" w:after="0"/>
              <w:rPr>
                <w:rFonts w:cs="Arial"/>
                <w:szCs w:val="22"/>
              </w:rPr>
            </w:pPr>
            <w:r w:rsidRPr="00D0230B">
              <w:rPr>
                <w:rFonts w:cs="Arial"/>
                <w:szCs w:val="22"/>
              </w:rPr>
              <w:t>Conforms by nuclear magnetic resonance (NMR)</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EA903DB" w14:textId="77777777" w:rsidR="002F7125" w:rsidRPr="00D0230B" w:rsidRDefault="002F7125" w:rsidP="00CB4C6A">
            <w:pPr>
              <w:spacing w:before="0" w:after="0"/>
              <w:rPr>
                <w:rFonts w:cs="Arial"/>
                <w:szCs w:val="22"/>
              </w:rPr>
            </w:pPr>
            <w:r w:rsidRPr="00D0230B">
              <w:rPr>
                <w:rFonts w:cs="Arial"/>
                <w:szCs w:val="22"/>
              </w:rPr>
              <w:t>ChromaDex method Meth-0.700.12.4</w:t>
            </w:r>
          </w:p>
          <w:p w14:paraId="6505CA57" w14:textId="77777777" w:rsidR="002F7125" w:rsidRPr="00D0230B" w:rsidRDefault="002F7125" w:rsidP="00CB4C6A">
            <w:pPr>
              <w:spacing w:before="0" w:after="0"/>
              <w:rPr>
                <w:rFonts w:cs="Arial"/>
                <w:szCs w:val="22"/>
              </w:rPr>
            </w:pPr>
          </w:p>
        </w:tc>
      </w:tr>
      <w:tr w:rsidR="002F7125" w:rsidRPr="003E137B" w14:paraId="02F8F3C8" w14:textId="77777777" w:rsidTr="00A8228D">
        <w:trPr>
          <w:cnfStyle w:val="000000010000" w:firstRow="0" w:lastRow="0" w:firstColumn="0" w:lastColumn="0" w:oddVBand="0" w:evenVBand="0" w:oddHBand="0" w:evenHBand="1"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14:paraId="1924353E" w14:textId="77777777" w:rsidR="002F7125" w:rsidRPr="00D0230B" w:rsidRDefault="002F7125" w:rsidP="00CB4C6A">
            <w:pPr>
              <w:spacing w:before="0" w:after="0"/>
              <w:rPr>
                <w:rFonts w:cs="Arial"/>
                <w:szCs w:val="22"/>
              </w:rPr>
            </w:pPr>
            <w:r w:rsidRPr="00D0230B">
              <w:rPr>
                <w:rFonts w:cs="Arial"/>
                <w:szCs w:val="22"/>
              </w:rPr>
              <w:t>Assay Nicotinamide riboside chloride</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1D1B56FB" w14:textId="77777777" w:rsidR="002F7125" w:rsidRPr="00D0230B" w:rsidRDefault="002F7125" w:rsidP="00CB4C6A">
            <w:pPr>
              <w:spacing w:before="0" w:after="0"/>
              <w:rPr>
                <w:rFonts w:cs="Arial"/>
                <w:szCs w:val="22"/>
              </w:rPr>
            </w:pPr>
            <w:r w:rsidRPr="00D0230B">
              <w:rPr>
                <w:rFonts w:cs="Arial"/>
                <w:szCs w:val="22"/>
              </w:rPr>
              <w:t>Not less than 90.0 w/w %</w:t>
            </w:r>
          </w:p>
          <w:p w14:paraId="26C060E3" w14:textId="0D34A30B" w:rsidR="002F7125" w:rsidRPr="00D0230B" w:rsidRDefault="002F7125" w:rsidP="00CB4C6A">
            <w:pPr>
              <w:spacing w:before="0" w:after="0"/>
              <w:rPr>
                <w:rFonts w:cs="Arial"/>
                <w:szCs w:val="22"/>
              </w:rPr>
            </w:pPr>
            <w:r w:rsidRPr="00D0230B">
              <w:rPr>
                <w:rFonts w:cs="Arial"/>
                <w:szCs w:val="22"/>
              </w:rPr>
              <w:t>Not more than 103 w/w %</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3D51B77C" w14:textId="77777777" w:rsidR="002F7125" w:rsidRPr="00D0230B" w:rsidRDefault="002F7125" w:rsidP="00CB4C6A">
            <w:pPr>
              <w:spacing w:before="0" w:after="0"/>
              <w:rPr>
                <w:rFonts w:cs="Arial"/>
                <w:szCs w:val="22"/>
              </w:rPr>
            </w:pPr>
            <w:r w:rsidRPr="00D0230B">
              <w:rPr>
                <w:rFonts w:cs="Arial"/>
                <w:szCs w:val="22"/>
              </w:rPr>
              <w:t>ChromaDex method 0.700.10.2.METH3</w:t>
            </w:r>
          </w:p>
        </w:tc>
      </w:tr>
      <w:tr w:rsidR="002F7125" w:rsidRPr="003E137B" w14:paraId="17E71B07" w14:textId="77777777" w:rsidTr="00A8228D">
        <w:trPr>
          <w:cnfStyle w:val="000000100000" w:firstRow="0" w:lastRow="0" w:firstColumn="0" w:lastColumn="0" w:oddVBand="0" w:evenVBand="0" w:oddHBand="1" w:evenHBand="0"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ACEA11" w14:textId="77777777" w:rsidR="002F7125" w:rsidRPr="00D0230B" w:rsidRDefault="002F7125" w:rsidP="00CB4C6A">
            <w:pPr>
              <w:spacing w:before="0" w:after="0"/>
              <w:rPr>
                <w:rFonts w:cs="Arial"/>
                <w:szCs w:val="22"/>
              </w:rPr>
            </w:pPr>
            <w:r w:rsidRPr="00D0230B">
              <w:rPr>
                <w:rFonts w:cs="Arial"/>
                <w:szCs w:val="22"/>
              </w:rPr>
              <w:t xml:space="preserve">Water content </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3B9C60AD" w14:textId="77777777" w:rsidR="002F7125" w:rsidRPr="00D0230B" w:rsidRDefault="002F7125" w:rsidP="00CB4C6A">
            <w:pPr>
              <w:spacing w:before="0" w:after="0"/>
              <w:rPr>
                <w:rFonts w:cs="Arial"/>
                <w:szCs w:val="22"/>
              </w:rPr>
            </w:pPr>
            <w:r w:rsidRPr="00D0230B">
              <w:rPr>
                <w:rFonts w:cs="Arial"/>
                <w:szCs w:val="22"/>
              </w:rPr>
              <w:t>Not more than 2.0 w/w %</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793596CC" w14:textId="77777777" w:rsidR="002F7125" w:rsidRPr="00D0230B" w:rsidRDefault="002F7125" w:rsidP="00CB4C6A">
            <w:pPr>
              <w:spacing w:before="0" w:after="0"/>
              <w:rPr>
                <w:rFonts w:cs="Arial"/>
                <w:szCs w:val="22"/>
              </w:rPr>
            </w:pPr>
            <w:r w:rsidRPr="00D0230B">
              <w:rPr>
                <w:rFonts w:cs="Arial"/>
                <w:szCs w:val="22"/>
              </w:rPr>
              <w:t>ChromaDex method 0.700.11.37</w:t>
            </w:r>
          </w:p>
        </w:tc>
      </w:tr>
      <w:tr w:rsidR="002F7125" w:rsidRPr="003E137B" w14:paraId="07F9BE30" w14:textId="77777777" w:rsidTr="00A8228D">
        <w:trPr>
          <w:cnfStyle w:val="000000010000" w:firstRow="0" w:lastRow="0" w:firstColumn="0" w:lastColumn="0" w:oddVBand="0" w:evenVBand="0" w:oddHBand="0" w:evenHBand="1" w:firstRowFirstColumn="0" w:firstRowLastColumn="0" w:lastRowFirstColumn="0" w:lastRowLastColumn="0"/>
          <w:trHeight w:val="397"/>
        </w:trPr>
        <w:tc>
          <w:tcPr>
            <w:tcW w:w="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8CADF1" w14:textId="3951D210" w:rsidR="002F7125" w:rsidRPr="00D0230B" w:rsidRDefault="00D0230B" w:rsidP="00D0230B">
            <w:pPr>
              <w:jc w:val="center"/>
              <w:rPr>
                <w:rFonts w:cs="Arial"/>
                <w:szCs w:val="22"/>
              </w:rPr>
            </w:pPr>
            <w:r w:rsidRPr="00D0230B">
              <w:rPr>
                <w:rFonts w:cs="Arial"/>
                <w:b/>
                <w:szCs w:val="22"/>
              </w:rPr>
              <w:t>Residual solvents</w:t>
            </w:r>
          </w:p>
        </w:tc>
      </w:tr>
      <w:tr w:rsidR="002F7125" w:rsidRPr="003E137B" w14:paraId="79F33DAB" w14:textId="77777777" w:rsidTr="00A8228D">
        <w:trPr>
          <w:cnfStyle w:val="000000100000" w:firstRow="0" w:lastRow="0" w:firstColumn="0" w:lastColumn="0" w:oddVBand="0" w:evenVBand="0" w:oddHBand="1" w:evenHBand="0"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14:paraId="1301DD6E" w14:textId="77777777" w:rsidR="002F7125" w:rsidRPr="00D0230B" w:rsidRDefault="002F7125" w:rsidP="00CB4C6A">
            <w:pPr>
              <w:spacing w:before="0" w:after="0"/>
              <w:rPr>
                <w:rFonts w:cs="Arial"/>
                <w:szCs w:val="22"/>
              </w:rPr>
            </w:pPr>
            <w:r w:rsidRPr="00D0230B">
              <w:rPr>
                <w:rFonts w:cs="Arial"/>
                <w:szCs w:val="22"/>
              </w:rPr>
              <w:t>Acetone</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49987BF5" w14:textId="77777777" w:rsidR="002F7125" w:rsidRPr="00D0230B" w:rsidRDefault="002F7125" w:rsidP="00CB4C6A">
            <w:pPr>
              <w:spacing w:before="0" w:after="0"/>
              <w:rPr>
                <w:rFonts w:cs="Arial"/>
                <w:szCs w:val="22"/>
              </w:rPr>
            </w:pPr>
            <w:r w:rsidRPr="00D0230B">
              <w:rPr>
                <w:rFonts w:cs="Arial"/>
                <w:szCs w:val="22"/>
              </w:rPr>
              <w:t>Not more than 5000 ppm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79D84C47" w14:textId="77777777" w:rsidR="002F7125" w:rsidRPr="00D0230B" w:rsidRDefault="002F7125" w:rsidP="00CB4C6A">
            <w:pPr>
              <w:spacing w:before="0" w:after="0"/>
              <w:rPr>
                <w:rFonts w:cs="Arial"/>
                <w:szCs w:val="22"/>
              </w:rPr>
            </w:pPr>
            <w:r w:rsidRPr="00D0230B">
              <w:rPr>
                <w:rFonts w:cs="Arial"/>
                <w:szCs w:val="22"/>
              </w:rPr>
              <w:t>USP** &lt;467&gt;</w:t>
            </w:r>
          </w:p>
        </w:tc>
      </w:tr>
      <w:tr w:rsidR="002F7125" w:rsidRPr="003E137B" w14:paraId="16D77C56" w14:textId="77777777" w:rsidTr="00A8228D">
        <w:trPr>
          <w:cnfStyle w:val="000000010000" w:firstRow="0" w:lastRow="0" w:firstColumn="0" w:lastColumn="0" w:oddVBand="0" w:evenVBand="0" w:oddHBand="0" w:evenHBand="1"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14:paraId="0391CF52" w14:textId="77777777" w:rsidR="002F7125" w:rsidRPr="00D0230B" w:rsidRDefault="002F7125" w:rsidP="00CB4C6A">
            <w:pPr>
              <w:spacing w:before="0" w:after="0"/>
              <w:rPr>
                <w:rFonts w:cs="Arial"/>
                <w:szCs w:val="22"/>
              </w:rPr>
            </w:pPr>
            <w:r w:rsidRPr="00D0230B">
              <w:rPr>
                <w:rFonts w:cs="Arial"/>
                <w:szCs w:val="22"/>
              </w:rPr>
              <w:t>Methanol</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0BCB3C8E" w14:textId="77777777" w:rsidR="002F7125" w:rsidRPr="00D0230B" w:rsidRDefault="002F7125" w:rsidP="00CB4C6A">
            <w:pPr>
              <w:spacing w:before="0" w:after="0"/>
              <w:rPr>
                <w:rFonts w:cs="Arial"/>
                <w:szCs w:val="22"/>
              </w:rPr>
            </w:pPr>
            <w:r w:rsidRPr="00D0230B">
              <w:rPr>
                <w:rFonts w:cs="Arial"/>
                <w:szCs w:val="22"/>
              </w:rPr>
              <w:t>Not more than 1000 ppm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0EDEDD2B" w14:textId="77777777" w:rsidR="002F7125" w:rsidRPr="00D0230B" w:rsidRDefault="002F7125" w:rsidP="00CB4C6A">
            <w:pPr>
              <w:spacing w:before="0" w:after="0"/>
              <w:rPr>
                <w:rFonts w:cs="Arial"/>
                <w:szCs w:val="22"/>
              </w:rPr>
            </w:pPr>
            <w:r w:rsidRPr="00D0230B">
              <w:rPr>
                <w:rFonts w:cs="Arial"/>
                <w:szCs w:val="22"/>
              </w:rPr>
              <w:t>USP &lt;467&gt;</w:t>
            </w:r>
          </w:p>
        </w:tc>
      </w:tr>
      <w:tr w:rsidR="002F7125" w:rsidRPr="003E137B" w14:paraId="06811839" w14:textId="77777777" w:rsidTr="00A8228D">
        <w:trPr>
          <w:cnfStyle w:val="000000100000" w:firstRow="0" w:lastRow="0" w:firstColumn="0" w:lastColumn="0" w:oddVBand="0" w:evenVBand="0" w:oddHBand="1" w:evenHBand="0"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14:paraId="63C9AE2E" w14:textId="77777777" w:rsidR="002F7125" w:rsidRPr="00D0230B" w:rsidRDefault="002F7125" w:rsidP="00CB4C6A">
            <w:pPr>
              <w:spacing w:before="0" w:after="0"/>
              <w:rPr>
                <w:rFonts w:cs="Arial"/>
                <w:szCs w:val="22"/>
              </w:rPr>
            </w:pPr>
            <w:r w:rsidRPr="00D0230B">
              <w:rPr>
                <w:rFonts w:cs="Arial"/>
                <w:szCs w:val="22"/>
              </w:rPr>
              <w:t>Acetonitrile</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4B2C0ABA" w14:textId="77777777" w:rsidR="002F7125" w:rsidRPr="00D0230B" w:rsidRDefault="002F7125" w:rsidP="00CB4C6A">
            <w:pPr>
              <w:spacing w:before="0" w:after="0"/>
              <w:rPr>
                <w:rFonts w:cs="Arial"/>
                <w:szCs w:val="22"/>
              </w:rPr>
            </w:pPr>
            <w:r w:rsidRPr="00D0230B">
              <w:rPr>
                <w:rFonts w:cs="Arial"/>
                <w:szCs w:val="22"/>
              </w:rPr>
              <w:t>Not more than 50 ppm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73A4709C" w14:textId="77777777" w:rsidR="002F7125" w:rsidRPr="00D0230B" w:rsidRDefault="002F7125" w:rsidP="00CB4C6A">
            <w:pPr>
              <w:spacing w:before="0" w:after="0"/>
              <w:rPr>
                <w:rFonts w:cs="Arial"/>
                <w:szCs w:val="22"/>
              </w:rPr>
            </w:pPr>
            <w:r w:rsidRPr="00D0230B">
              <w:rPr>
                <w:rFonts w:cs="Arial"/>
                <w:szCs w:val="22"/>
              </w:rPr>
              <w:t>USP &lt;467&gt;</w:t>
            </w:r>
          </w:p>
        </w:tc>
      </w:tr>
      <w:tr w:rsidR="002F7125" w:rsidRPr="003E137B" w14:paraId="765BF7EF" w14:textId="77777777" w:rsidTr="00A8228D">
        <w:trPr>
          <w:cnfStyle w:val="000000010000" w:firstRow="0" w:lastRow="0" w:firstColumn="0" w:lastColumn="0" w:oddVBand="0" w:evenVBand="0" w:oddHBand="0" w:evenHBand="1"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14:paraId="218AE673" w14:textId="77777777" w:rsidR="002F7125" w:rsidRPr="00D0230B" w:rsidRDefault="002F7125" w:rsidP="00CB4C6A">
            <w:pPr>
              <w:spacing w:before="0" w:after="0"/>
              <w:rPr>
                <w:rFonts w:cs="Arial"/>
                <w:szCs w:val="22"/>
              </w:rPr>
            </w:pPr>
            <w:r w:rsidRPr="00D0230B">
              <w:rPr>
                <w:rFonts w:cs="Arial"/>
                <w:szCs w:val="22"/>
              </w:rPr>
              <w:t>Methyl Tert-Butyl Ether</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68B795E7" w14:textId="77777777" w:rsidR="002F7125" w:rsidRPr="00D0230B" w:rsidRDefault="002F7125" w:rsidP="00CB4C6A">
            <w:pPr>
              <w:spacing w:before="0" w:after="0"/>
              <w:rPr>
                <w:rFonts w:cs="Arial"/>
                <w:szCs w:val="22"/>
              </w:rPr>
            </w:pPr>
            <w:r w:rsidRPr="00D0230B">
              <w:rPr>
                <w:rFonts w:cs="Arial"/>
                <w:szCs w:val="22"/>
              </w:rPr>
              <w:t>Not more than 500 ppm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5FEADBC" w14:textId="77777777" w:rsidR="002F7125" w:rsidRPr="00D0230B" w:rsidRDefault="002F7125" w:rsidP="00CB4C6A">
            <w:pPr>
              <w:spacing w:before="0" w:after="0"/>
              <w:rPr>
                <w:rFonts w:cs="Arial"/>
                <w:szCs w:val="22"/>
              </w:rPr>
            </w:pPr>
            <w:r w:rsidRPr="00D0230B">
              <w:rPr>
                <w:rFonts w:cs="Arial"/>
                <w:szCs w:val="22"/>
              </w:rPr>
              <w:t>USP &lt;467&gt;</w:t>
            </w:r>
          </w:p>
        </w:tc>
      </w:tr>
      <w:tr w:rsidR="002F7125" w:rsidRPr="003E137B" w14:paraId="7639704C" w14:textId="77777777" w:rsidTr="00A8228D">
        <w:trPr>
          <w:cnfStyle w:val="000000100000" w:firstRow="0" w:lastRow="0" w:firstColumn="0" w:lastColumn="0" w:oddVBand="0" w:evenVBand="0" w:oddHBand="1" w:evenHBand="0" w:firstRowFirstColumn="0" w:firstRowLastColumn="0" w:lastRowFirstColumn="0" w:lastRowLastColumn="0"/>
          <w:trHeight w:val="397"/>
        </w:trPr>
        <w:tc>
          <w:tcPr>
            <w:tcW w:w="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D38245" w14:textId="49093D3E" w:rsidR="002F7125" w:rsidRPr="00D0230B" w:rsidRDefault="00D0230B" w:rsidP="00D0230B">
            <w:pPr>
              <w:jc w:val="center"/>
              <w:rPr>
                <w:rFonts w:cs="Arial"/>
                <w:szCs w:val="22"/>
              </w:rPr>
            </w:pPr>
            <w:r w:rsidRPr="00D0230B">
              <w:rPr>
                <w:rFonts w:cs="Arial"/>
                <w:b/>
                <w:szCs w:val="22"/>
              </w:rPr>
              <w:t>Reaction by-products</w:t>
            </w:r>
          </w:p>
        </w:tc>
      </w:tr>
      <w:tr w:rsidR="002F7125" w:rsidRPr="003E137B" w14:paraId="0A015475" w14:textId="77777777" w:rsidTr="00A8228D">
        <w:trPr>
          <w:cnfStyle w:val="000000010000" w:firstRow="0" w:lastRow="0" w:firstColumn="0" w:lastColumn="0" w:oddVBand="0" w:evenVBand="0" w:oddHBand="0" w:evenHBand="1"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60EA5" w14:textId="77777777" w:rsidR="002F7125" w:rsidRPr="00D0230B" w:rsidRDefault="002F7125" w:rsidP="00CB4C6A">
            <w:pPr>
              <w:spacing w:before="0" w:after="0"/>
              <w:rPr>
                <w:rFonts w:cs="Arial"/>
                <w:szCs w:val="22"/>
              </w:rPr>
            </w:pPr>
            <w:r w:rsidRPr="00D0230B">
              <w:rPr>
                <w:rFonts w:cs="Arial"/>
                <w:szCs w:val="22"/>
              </w:rPr>
              <w:t>Methyl acetate</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5BBC8D4E" w14:textId="77777777" w:rsidR="002F7125" w:rsidRPr="00D0230B" w:rsidRDefault="002F7125" w:rsidP="00CB4C6A">
            <w:pPr>
              <w:spacing w:before="0" w:after="0"/>
              <w:rPr>
                <w:rFonts w:cs="Arial"/>
                <w:szCs w:val="22"/>
              </w:rPr>
            </w:pPr>
            <w:r w:rsidRPr="00D0230B">
              <w:rPr>
                <w:rFonts w:cs="Arial"/>
                <w:szCs w:val="22"/>
              </w:rPr>
              <w:t>Not more than 1000 ppm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B85E078" w14:textId="77777777" w:rsidR="002F7125" w:rsidRPr="00D0230B" w:rsidRDefault="002F7125" w:rsidP="00CB4C6A">
            <w:pPr>
              <w:spacing w:before="0" w:after="0"/>
              <w:rPr>
                <w:rFonts w:cs="Arial"/>
                <w:szCs w:val="22"/>
              </w:rPr>
            </w:pPr>
            <w:r w:rsidRPr="00D0230B">
              <w:rPr>
                <w:rFonts w:cs="Arial"/>
                <w:szCs w:val="22"/>
              </w:rPr>
              <w:t>USP &lt;467&gt;</w:t>
            </w:r>
          </w:p>
        </w:tc>
      </w:tr>
      <w:tr w:rsidR="002F7125" w:rsidRPr="003E137B" w14:paraId="202DDB5A" w14:textId="77777777" w:rsidTr="00A8228D">
        <w:trPr>
          <w:cnfStyle w:val="000000100000" w:firstRow="0" w:lastRow="0" w:firstColumn="0" w:lastColumn="0" w:oddVBand="0" w:evenVBand="0" w:oddHBand="1" w:evenHBand="0"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11BF87" w14:textId="77777777" w:rsidR="002F7125" w:rsidRPr="00D0230B" w:rsidRDefault="002F7125" w:rsidP="00CB4C6A">
            <w:pPr>
              <w:spacing w:before="0" w:after="0"/>
              <w:rPr>
                <w:rFonts w:cs="Arial"/>
                <w:szCs w:val="22"/>
              </w:rPr>
            </w:pPr>
            <w:r w:rsidRPr="00D0230B">
              <w:rPr>
                <w:rFonts w:cs="Arial"/>
                <w:szCs w:val="22"/>
              </w:rPr>
              <w:t>Acetamide</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73ED92A1" w14:textId="77777777" w:rsidR="002F7125" w:rsidRPr="00D0230B" w:rsidRDefault="002F7125" w:rsidP="00CB4C6A">
            <w:pPr>
              <w:spacing w:before="0" w:after="0"/>
              <w:rPr>
                <w:rFonts w:cs="Arial"/>
                <w:szCs w:val="22"/>
              </w:rPr>
            </w:pPr>
            <w:r w:rsidRPr="00D0230B">
              <w:rPr>
                <w:rFonts w:cs="Arial"/>
                <w:szCs w:val="22"/>
              </w:rPr>
              <w:t>Not more than 27 ppm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7C1F1C9A" w14:textId="77777777" w:rsidR="002F7125" w:rsidRPr="00D0230B" w:rsidRDefault="002F7125" w:rsidP="00CB4C6A">
            <w:pPr>
              <w:pStyle w:val="Default"/>
              <w:rPr>
                <w:sz w:val="22"/>
                <w:szCs w:val="22"/>
              </w:rPr>
            </w:pPr>
            <w:r w:rsidRPr="00D0230B">
              <w:rPr>
                <w:sz w:val="22"/>
                <w:szCs w:val="22"/>
              </w:rPr>
              <w:t>ChromaDex method 99-1-04-7.0-000616</w:t>
            </w:r>
          </w:p>
          <w:p w14:paraId="5099325C" w14:textId="77777777" w:rsidR="002F7125" w:rsidRPr="00D0230B" w:rsidRDefault="002F7125" w:rsidP="00CB4C6A">
            <w:pPr>
              <w:spacing w:before="0" w:after="0"/>
              <w:rPr>
                <w:rFonts w:cs="Arial"/>
                <w:szCs w:val="22"/>
              </w:rPr>
            </w:pPr>
          </w:p>
        </w:tc>
      </w:tr>
      <w:tr w:rsidR="002F7125" w:rsidRPr="003E137B" w14:paraId="7C235284" w14:textId="77777777" w:rsidTr="00A8228D">
        <w:trPr>
          <w:cnfStyle w:val="000000010000" w:firstRow="0" w:lastRow="0" w:firstColumn="0" w:lastColumn="0" w:oddVBand="0" w:evenVBand="0" w:oddHBand="0" w:evenHBand="1"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4BCB3" w14:textId="77777777" w:rsidR="002F7125" w:rsidRPr="00D0230B" w:rsidRDefault="002F7125" w:rsidP="00CB4C6A">
            <w:pPr>
              <w:spacing w:before="0" w:after="0"/>
              <w:rPr>
                <w:rFonts w:cs="Arial"/>
                <w:szCs w:val="22"/>
              </w:rPr>
            </w:pPr>
            <w:r w:rsidRPr="00D0230B">
              <w:rPr>
                <w:rFonts w:cs="Arial"/>
                <w:szCs w:val="22"/>
              </w:rPr>
              <w:t>Acetic acid</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5A07F0EC" w14:textId="77777777" w:rsidR="002F7125" w:rsidRPr="00D0230B" w:rsidRDefault="002F7125" w:rsidP="00CB4C6A">
            <w:pPr>
              <w:spacing w:before="0" w:after="0"/>
              <w:rPr>
                <w:rFonts w:cs="Arial"/>
                <w:szCs w:val="22"/>
              </w:rPr>
            </w:pPr>
            <w:r w:rsidRPr="00D0230B">
              <w:rPr>
                <w:rFonts w:cs="Arial"/>
                <w:szCs w:val="22"/>
              </w:rPr>
              <w:t>Not more than 5000 ppm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7DB27C06" w14:textId="77777777" w:rsidR="002F7125" w:rsidRPr="00D0230B" w:rsidRDefault="002F7125" w:rsidP="00CB4C6A">
            <w:pPr>
              <w:pStyle w:val="Default"/>
              <w:rPr>
                <w:sz w:val="22"/>
                <w:szCs w:val="22"/>
              </w:rPr>
            </w:pPr>
            <w:r w:rsidRPr="00D0230B">
              <w:rPr>
                <w:sz w:val="22"/>
                <w:szCs w:val="22"/>
              </w:rPr>
              <w:t xml:space="preserve">99.1-04-2.0-000665 </w:t>
            </w:r>
          </w:p>
          <w:p w14:paraId="434D00C5" w14:textId="77777777" w:rsidR="002F7125" w:rsidRPr="00D0230B" w:rsidRDefault="002F7125" w:rsidP="00CB4C6A">
            <w:pPr>
              <w:spacing w:before="0" w:after="0"/>
              <w:rPr>
                <w:rFonts w:cs="Arial"/>
                <w:szCs w:val="22"/>
              </w:rPr>
            </w:pPr>
          </w:p>
        </w:tc>
      </w:tr>
      <w:tr w:rsidR="002F7125" w:rsidRPr="003E137B" w14:paraId="7E170AC9" w14:textId="77777777" w:rsidTr="00A8228D">
        <w:trPr>
          <w:cnfStyle w:val="000000100000" w:firstRow="0" w:lastRow="0" w:firstColumn="0" w:lastColumn="0" w:oddVBand="0" w:evenVBand="0" w:oddHBand="1" w:evenHBand="0" w:firstRowFirstColumn="0" w:firstRowLastColumn="0" w:lastRowFirstColumn="0" w:lastRowLastColumn="0"/>
          <w:trHeight w:val="397"/>
        </w:trPr>
        <w:tc>
          <w:tcPr>
            <w:tcW w:w="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DF3593" w14:textId="6F8548E1" w:rsidR="002F7125" w:rsidRPr="00D0230B" w:rsidRDefault="00C60CB8" w:rsidP="00A8228D">
            <w:pPr>
              <w:spacing w:before="0" w:after="0"/>
              <w:jc w:val="center"/>
              <w:rPr>
                <w:rFonts w:cs="Arial"/>
                <w:szCs w:val="22"/>
              </w:rPr>
            </w:pPr>
            <w:r>
              <w:rPr>
                <w:rFonts w:cs="Arial"/>
                <w:b/>
                <w:szCs w:val="22"/>
              </w:rPr>
              <w:t>Arsenic and h</w:t>
            </w:r>
            <w:r w:rsidR="00A8228D" w:rsidRPr="00D0230B">
              <w:rPr>
                <w:rFonts w:cs="Arial"/>
                <w:b/>
                <w:szCs w:val="22"/>
              </w:rPr>
              <w:t>eavy metals</w:t>
            </w:r>
            <w:r>
              <w:rPr>
                <w:rFonts w:cs="Arial"/>
                <w:b/>
                <w:szCs w:val="22"/>
              </w:rPr>
              <w:t xml:space="preserve"> </w:t>
            </w:r>
          </w:p>
        </w:tc>
      </w:tr>
      <w:tr w:rsidR="002F7125" w:rsidRPr="003E137B" w14:paraId="6A5D4CB5" w14:textId="77777777" w:rsidTr="00A8228D">
        <w:trPr>
          <w:cnfStyle w:val="000000010000" w:firstRow="0" w:lastRow="0" w:firstColumn="0" w:lastColumn="0" w:oddVBand="0" w:evenVBand="0" w:oddHBand="0" w:evenHBand="1"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5BEAC" w14:textId="77777777" w:rsidR="002F7125" w:rsidRPr="00D0230B" w:rsidRDefault="002F7125" w:rsidP="00CB4C6A">
            <w:pPr>
              <w:spacing w:before="0" w:after="0"/>
              <w:rPr>
                <w:rFonts w:cs="Arial"/>
                <w:szCs w:val="22"/>
              </w:rPr>
            </w:pPr>
            <w:r w:rsidRPr="00D0230B">
              <w:rPr>
                <w:rFonts w:cs="Arial"/>
                <w:szCs w:val="22"/>
              </w:rPr>
              <w:t>Arsenic</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5870BDDA" w14:textId="77777777" w:rsidR="002F7125" w:rsidRPr="00D0230B" w:rsidRDefault="002F7125" w:rsidP="00CB4C6A">
            <w:pPr>
              <w:spacing w:before="0" w:after="0"/>
              <w:rPr>
                <w:rFonts w:cs="Arial"/>
                <w:szCs w:val="22"/>
              </w:rPr>
            </w:pPr>
            <w:r w:rsidRPr="00D0230B">
              <w:rPr>
                <w:rFonts w:cs="Arial"/>
                <w:szCs w:val="22"/>
              </w:rPr>
              <w:t>Not more than 1 ppm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78302736" w14:textId="77777777" w:rsidR="002F7125" w:rsidRPr="00D0230B" w:rsidRDefault="002F7125" w:rsidP="00CB4C6A">
            <w:pPr>
              <w:pStyle w:val="Default"/>
              <w:rPr>
                <w:sz w:val="22"/>
                <w:szCs w:val="22"/>
              </w:rPr>
            </w:pPr>
            <w:r w:rsidRPr="00D0230B">
              <w:rPr>
                <w:sz w:val="22"/>
                <w:szCs w:val="22"/>
              </w:rPr>
              <w:t>USP &lt;232&gt;, &lt;233&gt;, &lt;2232&gt;</w:t>
            </w:r>
          </w:p>
        </w:tc>
      </w:tr>
      <w:tr w:rsidR="002F7125" w:rsidRPr="003E137B" w14:paraId="5DD5B70D" w14:textId="77777777" w:rsidTr="00A8228D">
        <w:trPr>
          <w:cnfStyle w:val="000000100000" w:firstRow="0" w:lastRow="0" w:firstColumn="0" w:lastColumn="0" w:oddVBand="0" w:evenVBand="0" w:oddHBand="1" w:evenHBand="0"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14:paraId="1854B2F8" w14:textId="77777777" w:rsidR="002F7125" w:rsidRPr="00D0230B" w:rsidRDefault="002F7125" w:rsidP="00CB4C6A">
            <w:pPr>
              <w:rPr>
                <w:rFonts w:cs="Arial"/>
                <w:szCs w:val="22"/>
              </w:rPr>
            </w:pPr>
            <w:r w:rsidRPr="00D0230B">
              <w:rPr>
                <w:rFonts w:cs="Arial"/>
                <w:szCs w:val="22"/>
              </w:rPr>
              <w:t>Mercury</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04628733" w14:textId="77777777" w:rsidR="002F7125" w:rsidRPr="00D0230B" w:rsidRDefault="002F7125" w:rsidP="00CB4C6A">
            <w:pPr>
              <w:rPr>
                <w:rFonts w:cs="Arial"/>
                <w:szCs w:val="22"/>
              </w:rPr>
            </w:pPr>
            <w:r w:rsidRPr="00D0230B">
              <w:rPr>
                <w:rFonts w:cs="Arial"/>
                <w:szCs w:val="22"/>
              </w:rPr>
              <w:t>Not more than 1 ppm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52E95E5B" w14:textId="77777777" w:rsidR="002F7125" w:rsidRPr="00D0230B" w:rsidRDefault="002F7125" w:rsidP="00CB4C6A">
            <w:pPr>
              <w:pStyle w:val="Default"/>
              <w:rPr>
                <w:sz w:val="22"/>
                <w:szCs w:val="22"/>
              </w:rPr>
            </w:pPr>
            <w:r w:rsidRPr="00D0230B">
              <w:rPr>
                <w:sz w:val="22"/>
                <w:szCs w:val="22"/>
              </w:rPr>
              <w:t>USP &lt;232&gt;, &lt;233&gt;, &lt;2232&gt;</w:t>
            </w:r>
          </w:p>
        </w:tc>
      </w:tr>
      <w:tr w:rsidR="002F7125" w:rsidRPr="003E137B" w14:paraId="0710E47A" w14:textId="77777777" w:rsidTr="00A8228D">
        <w:trPr>
          <w:cnfStyle w:val="000000010000" w:firstRow="0" w:lastRow="0" w:firstColumn="0" w:lastColumn="0" w:oddVBand="0" w:evenVBand="0" w:oddHBand="0" w:evenHBand="1"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C6070" w14:textId="77777777" w:rsidR="002F7125" w:rsidRPr="00D0230B" w:rsidRDefault="002F7125" w:rsidP="00CB4C6A">
            <w:pPr>
              <w:spacing w:before="0" w:after="0"/>
              <w:rPr>
                <w:rFonts w:cs="Arial"/>
                <w:szCs w:val="22"/>
              </w:rPr>
            </w:pPr>
            <w:r w:rsidRPr="00D0230B">
              <w:rPr>
                <w:rFonts w:cs="Arial"/>
                <w:szCs w:val="22"/>
              </w:rPr>
              <w:t>Cadmium</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236C860D" w14:textId="77777777" w:rsidR="002F7125" w:rsidRPr="00D0230B" w:rsidRDefault="002F7125" w:rsidP="00CB4C6A">
            <w:pPr>
              <w:spacing w:before="0" w:after="0"/>
              <w:rPr>
                <w:rFonts w:cs="Arial"/>
                <w:szCs w:val="22"/>
              </w:rPr>
            </w:pPr>
            <w:r w:rsidRPr="00D0230B">
              <w:rPr>
                <w:rFonts w:cs="Arial"/>
                <w:szCs w:val="22"/>
              </w:rPr>
              <w:t>Not more than 1 ppm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155F60CA" w14:textId="77777777" w:rsidR="002F7125" w:rsidRPr="00D0230B" w:rsidRDefault="002F7125" w:rsidP="00CB4C6A">
            <w:pPr>
              <w:pStyle w:val="Default"/>
              <w:rPr>
                <w:sz w:val="22"/>
                <w:szCs w:val="22"/>
              </w:rPr>
            </w:pPr>
            <w:r w:rsidRPr="00D0230B">
              <w:rPr>
                <w:sz w:val="22"/>
                <w:szCs w:val="22"/>
              </w:rPr>
              <w:t>USP &lt;232&gt;, &lt;233&gt;, &lt;2232&gt;</w:t>
            </w:r>
          </w:p>
        </w:tc>
      </w:tr>
      <w:tr w:rsidR="002F7125" w:rsidRPr="003E137B" w14:paraId="59384480" w14:textId="77777777" w:rsidTr="00A8228D">
        <w:trPr>
          <w:cnfStyle w:val="000000100000" w:firstRow="0" w:lastRow="0" w:firstColumn="0" w:lastColumn="0" w:oddVBand="0" w:evenVBand="0" w:oddHBand="1" w:evenHBand="0"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14:paraId="2E19CD8D" w14:textId="77777777" w:rsidR="002F7125" w:rsidRPr="00D0230B" w:rsidRDefault="002F7125" w:rsidP="00CB4C6A">
            <w:pPr>
              <w:rPr>
                <w:rFonts w:cs="Arial"/>
                <w:szCs w:val="22"/>
              </w:rPr>
            </w:pPr>
            <w:r w:rsidRPr="00D0230B">
              <w:rPr>
                <w:rFonts w:cs="Arial"/>
                <w:szCs w:val="22"/>
              </w:rPr>
              <w:t>Lead</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2EEF5AAA" w14:textId="77777777" w:rsidR="002F7125" w:rsidRPr="00D0230B" w:rsidRDefault="002F7125" w:rsidP="00CB4C6A">
            <w:pPr>
              <w:rPr>
                <w:rFonts w:cs="Arial"/>
                <w:szCs w:val="22"/>
              </w:rPr>
            </w:pPr>
            <w:r w:rsidRPr="00D0230B">
              <w:rPr>
                <w:rFonts w:cs="Arial"/>
                <w:szCs w:val="22"/>
              </w:rPr>
              <w:t>Not more than 0.5 ppm</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2F75E754" w14:textId="77777777" w:rsidR="002F7125" w:rsidRPr="00D0230B" w:rsidRDefault="002F7125" w:rsidP="00CB4C6A">
            <w:pPr>
              <w:pStyle w:val="Default"/>
              <w:rPr>
                <w:sz w:val="22"/>
                <w:szCs w:val="22"/>
              </w:rPr>
            </w:pPr>
            <w:r w:rsidRPr="00D0230B">
              <w:rPr>
                <w:sz w:val="22"/>
                <w:szCs w:val="22"/>
              </w:rPr>
              <w:t>USP &lt;232&gt;, &lt;233&gt;, &lt;2232&gt;</w:t>
            </w:r>
          </w:p>
        </w:tc>
      </w:tr>
      <w:tr w:rsidR="002F7125" w:rsidRPr="003E137B" w14:paraId="0C874DAD" w14:textId="77777777" w:rsidTr="00A8228D">
        <w:trPr>
          <w:cnfStyle w:val="000000010000" w:firstRow="0" w:lastRow="0" w:firstColumn="0" w:lastColumn="0" w:oddVBand="0" w:evenVBand="0" w:oddHBand="0" w:evenHBand="1" w:firstRowFirstColumn="0" w:firstRowLastColumn="0" w:lastRowFirstColumn="0" w:lastRowLastColumn="0"/>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8CB2C" w14:textId="77777777" w:rsidR="002F7125" w:rsidRPr="00D0230B" w:rsidRDefault="002F7125" w:rsidP="00CB4C6A">
            <w:pPr>
              <w:spacing w:before="0" w:after="0"/>
              <w:jc w:val="center"/>
              <w:rPr>
                <w:rFonts w:cs="Arial"/>
                <w:b/>
                <w:szCs w:val="22"/>
              </w:rPr>
            </w:pPr>
            <w:r w:rsidRPr="00D0230B">
              <w:rPr>
                <w:rFonts w:cs="Arial"/>
                <w:b/>
                <w:szCs w:val="22"/>
              </w:rPr>
              <w:t xml:space="preserve">Microbiological Parameters </w:t>
            </w:r>
          </w:p>
        </w:tc>
      </w:tr>
      <w:tr w:rsidR="002F7125" w:rsidRPr="003E137B" w14:paraId="031BF507" w14:textId="77777777" w:rsidTr="00A8228D">
        <w:trPr>
          <w:cnfStyle w:val="000000100000" w:firstRow="0" w:lastRow="0" w:firstColumn="0" w:lastColumn="0" w:oddVBand="0" w:evenVBand="0" w:oddHBand="1" w:evenHBand="0"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BB8E89" w14:textId="77777777" w:rsidR="002F7125" w:rsidRPr="00D0230B" w:rsidRDefault="002F7125" w:rsidP="00CB4C6A">
            <w:pPr>
              <w:spacing w:before="0" w:after="0"/>
              <w:rPr>
                <w:rFonts w:cs="Arial"/>
                <w:szCs w:val="22"/>
              </w:rPr>
            </w:pPr>
            <w:r w:rsidRPr="00D0230B">
              <w:rPr>
                <w:rFonts w:cs="Arial"/>
                <w:szCs w:val="22"/>
              </w:rPr>
              <w:t>Total plate count</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5F57E972" w14:textId="77777777" w:rsidR="002F7125" w:rsidRPr="00D0230B" w:rsidRDefault="002F7125" w:rsidP="00CB4C6A">
            <w:pPr>
              <w:spacing w:before="0" w:after="0"/>
              <w:rPr>
                <w:rFonts w:cs="Arial"/>
                <w:szCs w:val="22"/>
              </w:rPr>
            </w:pPr>
            <w:r w:rsidRPr="00D0230B">
              <w:rPr>
                <w:rFonts w:cs="Arial"/>
                <w:szCs w:val="22"/>
              </w:rPr>
              <w:t>Not more than 1000 CFU*/g</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4AA3A5C9" w14:textId="77777777" w:rsidR="002F7125" w:rsidRPr="00D0230B" w:rsidRDefault="002F7125" w:rsidP="00CB4C6A">
            <w:pPr>
              <w:spacing w:before="0" w:after="0"/>
              <w:rPr>
                <w:rFonts w:cs="Arial"/>
                <w:szCs w:val="22"/>
              </w:rPr>
            </w:pPr>
            <w:r w:rsidRPr="00D0230B">
              <w:rPr>
                <w:rFonts w:cs="Arial"/>
                <w:szCs w:val="22"/>
              </w:rPr>
              <w:t>AOAC*** or equivalent</w:t>
            </w:r>
          </w:p>
        </w:tc>
      </w:tr>
      <w:tr w:rsidR="002F7125" w:rsidRPr="003E137B" w14:paraId="0DC59197" w14:textId="77777777" w:rsidTr="00A8228D">
        <w:trPr>
          <w:cnfStyle w:val="000000010000" w:firstRow="0" w:lastRow="0" w:firstColumn="0" w:lastColumn="0" w:oddVBand="0" w:evenVBand="0" w:oddHBand="0" w:evenHBand="1"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3BB53" w14:textId="77777777" w:rsidR="002F7125" w:rsidRPr="00D0230B" w:rsidRDefault="002F7125" w:rsidP="00CB4C6A">
            <w:pPr>
              <w:spacing w:before="0" w:after="0"/>
              <w:rPr>
                <w:rFonts w:cs="Arial"/>
                <w:i/>
                <w:szCs w:val="22"/>
              </w:rPr>
            </w:pPr>
            <w:r w:rsidRPr="00D0230B">
              <w:rPr>
                <w:rFonts w:cs="Arial"/>
                <w:i/>
                <w:szCs w:val="22"/>
              </w:rPr>
              <w:t>Escherichia coli</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58863851" w14:textId="77777777" w:rsidR="002F7125" w:rsidRPr="00D0230B" w:rsidRDefault="002F7125" w:rsidP="00CB4C6A">
            <w:pPr>
              <w:spacing w:before="0" w:after="0"/>
              <w:rPr>
                <w:rFonts w:cs="Arial"/>
                <w:szCs w:val="22"/>
              </w:rPr>
            </w:pPr>
            <w:r w:rsidRPr="00D0230B">
              <w:rPr>
                <w:rFonts w:cs="Arial"/>
                <w:szCs w:val="22"/>
              </w:rPr>
              <w:t>Absent in 10 g</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302B721D" w14:textId="77777777" w:rsidR="002F7125" w:rsidRPr="00D0230B" w:rsidRDefault="002F7125" w:rsidP="00CB4C6A">
            <w:pPr>
              <w:spacing w:before="0" w:after="0"/>
              <w:rPr>
                <w:rFonts w:cs="Arial"/>
                <w:szCs w:val="22"/>
              </w:rPr>
            </w:pPr>
            <w:r w:rsidRPr="00D0230B">
              <w:rPr>
                <w:rFonts w:cs="Arial"/>
                <w:szCs w:val="22"/>
              </w:rPr>
              <w:t>AOAC or equivalent</w:t>
            </w:r>
          </w:p>
        </w:tc>
      </w:tr>
      <w:tr w:rsidR="002F7125" w:rsidRPr="003E137B" w14:paraId="621D53CE" w14:textId="77777777" w:rsidTr="00A8228D">
        <w:trPr>
          <w:cnfStyle w:val="000000100000" w:firstRow="0" w:lastRow="0" w:firstColumn="0" w:lastColumn="0" w:oddVBand="0" w:evenVBand="0" w:oddHBand="1" w:evenHBand="0" w:firstRowFirstColumn="0" w:firstRowLastColumn="0" w:lastRowFirstColumn="0" w:lastRowLastColumn="0"/>
          <w:trHeight w:val="397"/>
        </w:trPr>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14:paraId="6F6EF32B" w14:textId="77777777" w:rsidR="002F7125" w:rsidRPr="00D0230B" w:rsidRDefault="002F7125" w:rsidP="00CB4C6A">
            <w:pPr>
              <w:spacing w:before="0" w:after="0"/>
              <w:rPr>
                <w:rFonts w:cs="Arial"/>
                <w:szCs w:val="22"/>
              </w:rPr>
            </w:pPr>
            <w:r w:rsidRPr="00D0230B">
              <w:rPr>
                <w:rFonts w:cs="Arial"/>
                <w:szCs w:val="22"/>
              </w:rPr>
              <w:t>Yeast and Mould</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0E73A3FF" w14:textId="77777777" w:rsidR="002F7125" w:rsidRPr="00D0230B" w:rsidRDefault="002F7125" w:rsidP="00CB4C6A">
            <w:pPr>
              <w:spacing w:before="0" w:after="0"/>
              <w:rPr>
                <w:rFonts w:cs="Arial"/>
                <w:szCs w:val="22"/>
              </w:rPr>
            </w:pPr>
            <w:r w:rsidRPr="00D0230B">
              <w:rPr>
                <w:rFonts w:cs="Arial"/>
                <w:szCs w:val="22"/>
              </w:rPr>
              <w:t>Not more than 100 CFU/g</w:t>
            </w:r>
          </w:p>
        </w:tc>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05672C5B" w14:textId="77777777" w:rsidR="002F7125" w:rsidRPr="00D0230B" w:rsidRDefault="002F7125" w:rsidP="00CB4C6A">
            <w:pPr>
              <w:spacing w:before="0" w:after="0"/>
              <w:rPr>
                <w:rFonts w:cs="Arial"/>
                <w:szCs w:val="22"/>
              </w:rPr>
            </w:pPr>
            <w:r w:rsidRPr="00D0230B">
              <w:rPr>
                <w:rFonts w:cs="Arial"/>
                <w:szCs w:val="22"/>
              </w:rPr>
              <w:t>AOAC or equivalent</w:t>
            </w:r>
          </w:p>
        </w:tc>
      </w:tr>
    </w:tbl>
    <w:p w14:paraId="1A25013F" w14:textId="77777777" w:rsidR="002F7125" w:rsidRDefault="002F7125" w:rsidP="002F7125">
      <w:pPr>
        <w:widowControl/>
        <w:rPr>
          <w:rFonts w:cs="Arial"/>
          <w:i/>
          <w:sz w:val="16"/>
          <w:szCs w:val="16"/>
        </w:rPr>
      </w:pPr>
      <w:r>
        <w:rPr>
          <w:rFonts w:cs="Arial"/>
          <w:i/>
          <w:sz w:val="16"/>
          <w:szCs w:val="16"/>
        </w:rPr>
        <w:t>*CFU = colony forming units</w:t>
      </w:r>
    </w:p>
    <w:p w14:paraId="18AD8796" w14:textId="77777777" w:rsidR="002F7125" w:rsidRDefault="002F7125" w:rsidP="002F7125">
      <w:pPr>
        <w:widowControl/>
        <w:rPr>
          <w:rFonts w:cs="Arial"/>
          <w:i/>
          <w:sz w:val="16"/>
          <w:szCs w:val="16"/>
        </w:rPr>
      </w:pPr>
      <w:r>
        <w:rPr>
          <w:rFonts w:cs="Arial"/>
          <w:i/>
          <w:sz w:val="16"/>
          <w:szCs w:val="16"/>
        </w:rPr>
        <w:t>**USP = United States Pharmacopeia</w:t>
      </w:r>
    </w:p>
    <w:p w14:paraId="543733B9" w14:textId="77777777" w:rsidR="002F7125" w:rsidRDefault="002F7125" w:rsidP="002F7125">
      <w:pPr>
        <w:widowControl/>
        <w:rPr>
          <w:rFonts w:cs="Arial"/>
          <w:i/>
          <w:sz w:val="16"/>
          <w:szCs w:val="16"/>
        </w:rPr>
      </w:pPr>
      <w:r>
        <w:rPr>
          <w:rFonts w:cs="Arial"/>
          <w:i/>
          <w:sz w:val="16"/>
          <w:szCs w:val="16"/>
        </w:rPr>
        <w:t xml:space="preserve">***AOAC = Association of Analytical Communities </w:t>
      </w:r>
    </w:p>
    <w:p w14:paraId="64C81CD1" w14:textId="7D8E6CD8" w:rsidR="002F7125" w:rsidRDefault="002F7125" w:rsidP="00533BF1">
      <w:pPr>
        <w:pStyle w:val="Heading2"/>
      </w:pPr>
      <w:bookmarkStart w:id="666" w:name="_Toc515634589"/>
      <w:bookmarkStart w:id="667" w:name="_Toc517451203"/>
      <w:bookmarkStart w:id="668" w:name="_Toc518397308"/>
      <w:bookmarkStart w:id="669" w:name="_Toc518400834"/>
      <w:bookmarkStart w:id="670" w:name="_Toc518475266"/>
      <w:bookmarkStart w:id="671" w:name="_Toc518478863"/>
      <w:bookmarkStart w:id="672" w:name="_Toc518995914"/>
      <w:bookmarkStart w:id="673" w:name="_Toc519260317"/>
      <w:bookmarkStart w:id="674" w:name="_Toc519260643"/>
      <w:bookmarkStart w:id="675" w:name="_Toc519607924"/>
      <w:bookmarkStart w:id="676" w:name="_Toc521418039"/>
      <w:bookmarkStart w:id="677" w:name="_Toc63866420"/>
      <w:bookmarkStart w:id="678" w:name="_Toc63863850"/>
      <w:bookmarkStart w:id="679" w:name="_Toc65509089"/>
      <w:bookmarkStart w:id="680" w:name="_Toc65587220"/>
      <w:bookmarkStart w:id="681" w:name="_Toc65587236"/>
      <w:bookmarkStart w:id="682" w:name="_Toc65682800"/>
      <w:bookmarkStart w:id="683" w:name="_Toc65764341"/>
      <w:bookmarkStart w:id="684" w:name="_Toc65764674"/>
      <w:bookmarkStart w:id="685" w:name="_Toc65578826"/>
      <w:bookmarkStart w:id="686" w:name="_Toc65841243"/>
      <w:bookmarkStart w:id="687" w:name="_Toc66443258"/>
      <w:bookmarkStart w:id="688" w:name="_Toc66436814"/>
      <w:bookmarkStart w:id="689" w:name="_Toc66458166"/>
      <w:bookmarkStart w:id="690" w:name="_Toc66451440"/>
      <w:bookmarkStart w:id="691" w:name="_Toc66458833"/>
      <w:bookmarkStart w:id="692" w:name="_Toc66458966"/>
      <w:bookmarkStart w:id="693" w:name="_Toc66461661"/>
      <w:bookmarkStart w:id="694" w:name="_Toc69899770"/>
      <w:r>
        <w:lastRenderedPageBreak/>
        <w:t>Analytical methods for detection</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14:paraId="6C066B3E" w14:textId="77777777" w:rsidR="002F7125" w:rsidRDefault="002F7125" w:rsidP="002F7125">
      <w:r>
        <w:t xml:space="preserve">As there are no internationally recognised methods for the analysis of </w:t>
      </w:r>
      <w:r>
        <w:rPr>
          <w:lang w:eastAsia="en-AU"/>
        </w:rPr>
        <w:t>NRC</w:t>
      </w:r>
      <w:r>
        <w:t>, methods developed by the applicant were submitted to FSANZ in confidence as CCI material. As stated in the application, the applicant has developed and validated a high performance liquid chromatography (HPLC) method for detection of NRC. The information provided included:</w:t>
      </w:r>
    </w:p>
    <w:p w14:paraId="4D4D2A40" w14:textId="77777777" w:rsidR="002F7125" w:rsidRDefault="002F7125" w:rsidP="002F7125">
      <w:pPr>
        <w:pStyle w:val="FSBullet1"/>
        <w:numPr>
          <w:ilvl w:val="0"/>
          <w:numId w:val="28"/>
        </w:numPr>
        <w:ind w:left="567" w:hanging="567"/>
      </w:pPr>
      <w:r>
        <w:t>Description of methods using HPLC</w:t>
      </w:r>
    </w:p>
    <w:p w14:paraId="245AB57D" w14:textId="77777777" w:rsidR="002F7125" w:rsidRDefault="002F7125" w:rsidP="002F7125">
      <w:pPr>
        <w:pStyle w:val="FSBullet1"/>
        <w:numPr>
          <w:ilvl w:val="0"/>
          <w:numId w:val="28"/>
        </w:numPr>
        <w:ind w:left="567" w:hanging="567"/>
      </w:pPr>
      <w:r>
        <w:t>Details of methods including reagents, standards, solution preparation, standard preparation, sample preparation and typical chromatograms</w:t>
      </w:r>
    </w:p>
    <w:p w14:paraId="46F146E4" w14:textId="77777777" w:rsidR="002F7125" w:rsidRDefault="002F7125" w:rsidP="002F7125">
      <w:pPr>
        <w:pStyle w:val="FSBullet1"/>
        <w:numPr>
          <w:ilvl w:val="0"/>
          <w:numId w:val="28"/>
        </w:numPr>
        <w:ind w:left="567" w:hanging="567"/>
      </w:pPr>
      <w:r>
        <w:t xml:space="preserve">Analytical procedures to assay for impurities specified in the specification </w:t>
      </w:r>
    </w:p>
    <w:p w14:paraId="3139616F" w14:textId="77777777" w:rsidR="002F7125" w:rsidRDefault="002F7125" w:rsidP="002F7125">
      <w:pPr>
        <w:pStyle w:val="FSBullet1"/>
        <w:numPr>
          <w:ilvl w:val="0"/>
          <w:numId w:val="28"/>
        </w:numPr>
        <w:ind w:left="567" w:hanging="567"/>
      </w:pPr>
      <w:r>
        <w:t xml:space="preserve">Quantification of </w:t>
      </w:r>
      <w:r>
        <w:rPr>
          <w:lang w:eastAsia="en-AU"/>
        </w:rPr>
        <w:t>NRC</w:t>
      </w:r>
    </w:p>
    <w:p w14:paraId="015BB98B" w14:textId="77777777" w:rsidR="002F7125" w:rsidRDefault="002F7125" w:rsidP="002F7125"/>
    <w:p w14:paraId="36E9B149" w14:textId="77777777" w:rsidR="002F7125" w:rsidRDefault="002F7125" w:rsidP="002F7125">
      <w:r>
        <w:t xml:space="preserve">The information demonstrated that the </w:t>
      </w:r>
      <w:r>
        <w:rPr>
          <w:lang w:eastAsia="en-AU"/>
        </w:rPr>
        <w:t xml:space="preserve">NRC </w:t>
      </w:r>
      <w:r>
        <w:t>can be manufactured and assayed to a purity that would be consistent with the specifications proposed by the applicant.</w:t>
      </w:r>
    </w:p>
    <w:p w14:paraId="3E43024E" w14:textId="77777777" w:rsidR="002F7125" w:rsidRDefault="002F7125" w:rsidP="002F7125"/>
    <w:p w14:paraId="2BBC45E6" w14:textId="62FC862A" w:rsidR="002F7125" w:rsidRDefault="002F7125" w:rsidP="002F7125">
      <w:pPr>
        <w:rPr>
          <w:lang w:eastAsia="en-AU"/>
        </w:rPr>
      </w:pPr>
      <w:r w:rsidRPr="00823719">
        <w:rPr>
          <w:lang w:bidi="ar-SA"/>
        </w:rPr>
        <w:t>If analytical methods are required to be developed for enforcement purposes</w:t>
      </w:r>
      <w:r>
        <w:rPr>
          <w:lang w:bidi="ar-SA"/>
        </w:rPr>
        <w:t xml:space="preserve">, including how the amount of NRC relates to niacin label declarations, </w:t>
      </w:r>
      <w:r w:rsidRPr="00823719">
        <w:rPr>
          <w:lang w:bidi="ar-SA"/>
        </w:rPr>
        <w:t>then full analytical methods and assistance may</w:t>
      </w:r>
      <w:r w:rsidR="00BB2AF3">
        <w:rPr>
          <w:lang w:bidi="ar-SA"/>
        </w:rPr>
        <w:t xml:space="preserve"> need to be requested from the a</w:t>
      </w:r>
      <w:r w:rsidRPr="00823719">
        <w:rPr>
          <w:lang w:bidi="ar-SA"/>
        </w:rPr>
        <w:t>pplicant</w:t>
      </w:r>
      <w:r>
        <w:rPr>
          <w:lang w:bidi="ar-SA"/>
        </w:rPr>
        <w:t xml:space="preserve">. </w:t>
      </w:r>
    </w:p>
    <w:p w14:paraId="70D2610B" w14:textId="101E6964" w:rsidR="002F7125" w:rsidRDefault="002F7125" w:rsidP="00533BF1">
      <w:pPr>
        <w:pStyle w:val="Heading2"/>
      </w:pPr>
      <w:bookmarkStart w:id="695" w:name="_Toc515634593"/>
      <w:bookmarkStart w:id="696" w:name="_Toc517451207"/>
      <w:bookmarkStart w:id="697" w:name="_Toc518397312"/>
      <w:bookmarkStart w:id="698" w:name="_Toc518400838"/>
      <w:bookmarkStart w:id="699" w:name="_Toc518475270"/>
      <w:bookmarkStart w:id="700" w:name="_Toc518478867"/>
      <w:bookmarkStart w:id="701" w:name="_Toc518995918"/>
      <w:bookmarkStart w:id="702" w:name="_Toc519260321"/>
      <w:bookmarkStart w:id="703" w:name="_Toc519260647"/>
      <w:bookmarkStart w:id="704" w:name="_Toc519607928"/>
      <w:bookmarkStart w:id="705" w:name="_Toc521418043"/>
      <w:bookmarkStart w:id="706" w:name="_Toc63866421"/>
      <w:bookmarkStart w:id="707" w:name="_Toc63863851"/>
      <w:bookmarkStart w:id="708" w:name="_Toc65509090"/>
      <w:bookmarkStart w:id="709" w:name="_Toc65587221"/>
      <w:bookmarkStart w:id="710" w:name="_Toc65587237"/>
      <w:bookmarkStart w:id="711" w:name="_Toc65682801"/>
      <w:bookmarkStart w:id="712" w:name="_Toc65764342"/>
      <w:bookmarkStart w:id="713" w:name="_Toc65764675"/>
      <w:bookmarkStart w:id="714" w:name="_Toc65578827"/>
      <w:bookmarkStart w:id="715" w:name="_Toc65841244"/>
      <w:bookmarkStart w:id="716" w:name="_Toc66443259"/>
      <w:bookmarkStart w:id="717" w:name="_Toc66436815"/>
      <w:bookmarkStart w:id="718" w:name="_Toc66458167"/>
      <w:bookmarkStart w:id="719" w:name="_Toc66451441"/>
      <w:bookmarkStart w:id="720" w:name="_Toc66458834"/>
      <w:bookmarkStart w:id="721" w:name="_Toc66458967"/>
      <w:bookmarkStart w:id="722" w:name="_Toc66461662"/>
      <w:bookmarkStart w:id="723" w:name="_Toc69899771"/>
      <w:r>
        <w:t>Stability</w:t>
      </w:r>
      <w:bookmarkEnd w:id="695"/>
      <w:bookmarkEnd w:id="696"/>
      <w:bookmarkEnd w:id="697"/>
      <w:bookmarkEnd w:id="698"/>
      <w:bookmarkEnd w:id="699"/>
      <w:bookmarkEnd w:id="700"/>
      <w:bookmarkEnd w:id="701"/>
      <w:bookmarkEnd w:id="702"/>
      <w:bookmarkEnd w:id="703"/>
      <w:bookmarkEnd w:id="704"/>
      <w:bookmarkEnd w:id="705"/>
      <w:r>
        <w:t xml:space="preserve"> in food</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51E1D0B1" w14:textId="467C19D4" w:rsidR="002F7125" w:rsidRDefault="002F7125" w:rsidP="002F7125">
      <w:r>
        <w:rPr>
          <w:lang w:eastAsia="en-AU"/>
        </w:rPr>
        <w:t>Stability studies specifically for NRC in a food matrix were provided by the applicant as CCI. Interim results for a 36 month study on the stability of NRC in a protein powder formulation show NRC is stable at 25</w:t>
      </w:r>
      <w:r>
        <w:rPr>
          <w:rFonts w:cs="Arial"/>
          <w:lang w:eastAsia="en-AU"/>
        </w:rPr>
        <w:t>°</w:t>
      </w:r>
      <w:r>
        <w:rPr>
          <w:lang w:eastAsia="en-AU"/>
        </w:rPr>
        <w:t>C/60%RH for at least 12 months, and based on accelerated testing is predicted to have a 24 month plus shelf life at real time conditions.</w:t>
      </w:r>
    </w:p>
    <w:p w14:paraId="5F0FED24" w14:textId="77777777" w:rsidR="002F7125" w:rsidRDefault="002F7125" w:rsidP="002F7125">
      <w:pPr>
        <w:rPr>
          <w:lang w:eastAsia="en-AU"/>
        </w:rPr>
      </w:pPr>
    </w:p>
    <w:p w14:paraId="01096BED" w14:textId="77777777" w:rsidR="002F7125" w:rsidRDefault="002F7125" w:rsidP="002F7125">
      <w:pPr>
        <w:rPr>
          <w:lang w:eastAsia="en-AU"/>
        </w:rPr>
      </w:pPr>
      <w:r>
        <w:rPr>
          <w:lang w:eastAsia="en-AU"/>
        </w:rPr>
        <w:t xml:space="preserve">The applicant holds extensive stability data regarding the use of NRC in dietary/food supplements, and states that this stability data is highly relevant to its stability in food matrixes, such as powdered Foods for Special Medical Purposes products. </w:t>
      </w:r>
    </w:p>
    <w:p w14:paraId="617E2183" w14:textId="77777777" w:rsidR="002F7125" w:rsidRDefault="002F7125" w:rsidP="002F7125">
      <w:pPr>
        <w:rPr>
          <w:lang w:eastAsia="en-AU"/>
        </w:rPr>
      </w:pPr>
    </w:p>
    <w:p w14:paraId="3ED88432" w14:textId="6C89932B" w:rsidR="002F7125" w:rsidRDefault="002F7125" w:rsidP="002F7125">
      <w:pPr>
        <w:rPr>
          <w:lang w:eastAsia="en-AU"/>
        </w:rPr>
      </w:pPr>
      <w:r>
        <w:t>The GRAS</w:t>
      </w:r>
      <w:r w:rsidDel="002704EA">
        <w:t xml:space="preserve"> </w:t>
      </w:r>
      <w:r w:rsidR="002704EA">
        <w:t xml:space="preserve">notification </w:t>
      </w:r>
      <w:hyperlink r:id="rId26" w:history="1">
        <w:r>
          <w:rPr>
            <w:rStyle w:val="Hyperlink"/>
          </w:rPr>
          <w:t>GRN635</w:t>
        </w:r>
      </w:hyperlink>
      <w:r>
        <w:t xml:space="preserve"> </w:t>
      </w:r>
      <w:r w:rsidR="002704EA">
        <w:t>t</w:t>
      </w:r>
      <w:r w:rsidR="006C3AF5">
        <w:t>o</w:t>
      </w:r>
      <w:r w:rsidR="002704EA">
        <w:t xml:space="preserve"> the United States Food &amp; Drug Administration </w:t>
      </w:r>
      <w:r>
        <w:rPr>
          <w:lang w:eastAsia="en-AU"/>
        </w:rPr>
        <w:t xml:space="preserve">indicates that NRC is stable under different processing conditions and throughout the shelf life of selected food products (US FDA 2016). </w:t>
      </w:r>
    </w:p>
    <w:p w14:paraId="13543CCC" w14:textId="77777777" w:rsidR="002F7125" w:rsidRDefault="002F7125" w:rsidP="002F7125">
      <w:pPr>
        <w:rPr>
          <w:lang w:eastAsia="en-AU"/>
        </w:rPr>
      </w:pPr>
    </w:p>
    <w:p w14:paraId="21AD0E4A" w14:textId="0B16857E" w:rsidR="002F7125" w:rsidRDefault="002F7125" w:rsidP="002F7125">
      <w:pPr>
        <w:rPr>
          <w:lang w:eastAsia="en-AU"/>
        </w:rPr>
      </w:pPr>
      <w:r>
        <w:rPr>
          <w:lang w:eastAsia="en-AU"/>
        </w:rPr>
        <w:t xml:space="preserve">From the application and additional information provided, the main degradation of NRC is through hydrolysis leading to formation of </w:t>
      </w:r>
      <w:r w:rsidR="006C3AF5">
        <w:rPr>
          <w:lang w:eastAsia="en-AU"/>
        </w:rPr>
        <w:t xml:space="preserve">Nam </w:t>
      </w:r>
      <w:r>
        <w:rPr>
          <w:lang w:eastAsia="en-AU"/>
        </w:rPr>
        <w:t xml:space="preserve">and ribose. Therefore water content is the main concern with regard to stability. </w:t>
      </w:r>
      <w:r w:rsidR="003200EF">
        <w:rPr>
          <w:lang w:eastAsia="en-AU"/>
        </w:rPr>
        <w:t xml:space="preserve">The purpose of adding NRC to FSMPs is to increase </w:t>
      </w:r>
      <w:r w:rsidR="006C3AF5">
        <w:rPr>
          <w:lang w:eastAsia="en-AU"/>
        </w:rPr>
        <w:t>Nam</w:t>
      </w:r>
      <w:r w:rsidR="003200EF">
        <w:rPr>
          <w:lang w:eastAsia="en-AU"/>
        </w:rPr>
        <w:t xml:space="preserve"> uptake, while ribose is a sugar synthesised by the body from food.</w:t>
      </w:r>
      <w:r w:rsidR="00084E5E">
        <w:rPr>
          <w:lang w:eastAsia="en-AU"/>
        </w:rPr>
        <w:t xml:space="preserve"> </w:t>
      </w:r>
      <w:r w:rsidRPr="00C60CB8">
        <w:rPr>
          <w:lang w:eastAsia="en-AU"/>
        </w:rPr>
        <w:t xml:space="preserve">The degradation products are </w:t>
      </w:r>
      <w:r w:rsidR="003200EF" w:rsidRPr="00C60CB8">
        <w:rPr>
          <w:lang w:eastAsia="en-AU"/>
        </w:rPr>
        <w:t xml:space="preserve">therefore </w:t>
      </w:r>
      <w:r w:rsidR="006C3AF5" w:rsidRPr="00C60CB8">
        <w:rPr>
          <w:lang w:eastAsia="en-AU"/>
        </w:rPr>
        <w:t>not</w:t>
      </w:r>
      <w:r w:rsidRPr="00C60CB8">
        <w:rPr>
          <w:lang w:eastAsia="en-AU"/>
        </w:rPr>
        <w:t xml:space="preserve"> a safety concern.  </w:t>
      </w:r>
    </w:p>
    <w:p w14:paraId="0709FEDC" w14:textId="77777777" w:rsidR="002F7125" w:rsidRDefault="002F7125" w:rsidP="002F7125">
      <w:pPr>
        <w:rPr>
          <w:lang w:eastAsia="en-AU"/>
        </w:rPr>
      </w:pPr>
    </w:p>
    <w:p w14:paraId="2582E676" w14:textId="77777777" w:rsidR="002F7125" w:rsidRDefault="002F7125" w:rsidP="002F7125">
      <w:pPr>
        <w:rPr>
          <w:lang w:eastAsia="en-AU"/>
        </w:rPr>
      </w:pPr>
      <w:r>
        <w:rPr>
          <w:lang w:eastAsia="en-AU"/>
        </w:rPr>
        <w:t>Data sheets and technical information held by the applicant would be available to manufacturers of FSMPs regarding the use of NRC (for example, any limitations around suitable product formulations and shelf life).</w:t>
      </w:r>
    </w:p>
    <w:p w14:paraId="29CFFA9C" w14:textId="7211F8C6" w:rsidR="002F7125" w:rsidRDefault="002F7125" w:rsidP="00533BF1">
      <w:pPr>
        <w:pStyle w:val="Heading2"/>
      </w:pPr>
      <w:bookmarkStart w:id="724" w:name="_Toc515634595"/>
      <w:bookmarkStart w:id="725" w:name="_Toc517451209"/>
      <w:bookmarkStart w:id="726" w:name="_Toc518397314"/>
      <w:bookmarkStart w:id="727" w:name="_Toc518400840"/>
      <w:bookmarkStart w:id="728" w:name="_Toc518475272"/>
      <w:bookmarkStart w:id="729" w:name="_Toc518478869"/>
      <w:bookmarkStart w:id="730" w:name="_Toc518995920"/>
      <w:bookmarkStart w:id="731" w:name="_Toc519260323"/>
      <w:bookmarkStart w:id="732" w:name="_Toc519260649"/>
      <w:bookmarkStart w:id="733" w:name="_Toc519607930"/>
      <w:bookmarkStart w:id="734" w:name="_Toc521418045"/>
      <w:bookmarkStart w:id="735" w:name="_Toc63866422"/>
      <w:bookmarkStart w:id="736" w:name="_Toc63863852"/>
      <w:bookmarkStart w:id="737" w:name="_Toc65509091"/>
      <w:bookmarkStart w:id="738" w:name="_Toc65587222"/>
      <w:bookmarkStart w:id="739" w:name="_Toc65587238"/>
      <w:bookmarkStart w:id="740" w:name="_Toc65682802"/>
      <w:bookmarkStart w:id="741" w:name="_Toc65764343"/>
      <w:bookmarkStart w:id="742" w:name="_Toc65764676"/>
      <w:bookmarkStart w:id="743" w:name="_Toc65578828"/>
      <w:bookmarkStart w:id="744" w:name="_Toc65841245"/>
      <w:bookmarkStart w:id="745" w:name="_Toc66443260"/>
      <w:bookmarkStart w:id="746" w:name="_Toc66436816"/>
      <w:bookmarkStart w:id="747" w:name="_Toc66458168"/>
      <w:bookmarkStart w:id="748" w:name="_Toc66451442"/>
      <w:bookmarkStart w:id="749" w:name="_Toc66458835"/>
      <w:bookmarkStart w:id="750" w:name="_Toc66458968"/>
      <w:bookmarkStart w:id="751" w:name="_Toc66461663"/>
      <w:bookmarkStart w:id="752" w:name="_Toc69899772"/>
      <w:bookmarkEnd w:id="724"/>
      <w:bookmarkEnd w:id="725"/>
      <w:bookmarkEnd w:id="726"/>
      <w:bookmarkEnd w:id="727"/>
      <w:bookmarkEnd w:id="728"/>
      <w:bookmarkEnd w:id="729"/>
      <w:bookmarkEnd w:id="730"/>
      <w:bookmarkEnd w:id="731"/>
      <w:bookmarkEnd w:id="732"/>
      <w:bookmarkEnd w:id="733"/>
      <w:r>
        <w:t xml:space="preserve">Food technology </w:t>
      </w:r>
      <w:bookmarkEnd w:id="734"/>
      <w:r>
        <w:t>conclusion</w:t>
      </w:r>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14:paraId="2ACDFFED" w14:textId="3511ADDA" w:rsidR="002F7125" w:rsidRDefault="002F7125" w:rsidP="002F7125">
      <w:pPr>
        <w:rPr>
          <w:lang w:eastAsia="en-AU"/>
        </w:rPr>
      </w:pPr>
      <w:r>
        <w:t xml:space="preserve">The food technology assessment concludes that </w:t>
      </w:r>
      <w:r>
        <w:rPr>
          <w:lang w:eastAsia="en-AU"/>
        </w:rPr>
        <w:t>NRC is a synthetic form of nicotinamide riboside. NRC is a white to light brown powder that is soluble in water. Niagen</w:t>
      </w:r>
      <w:r>
        <w:rPr>
          <w:rFonts w:cs="Arial"/>
          <w:lang w:eastAsia="en-AU"/>
        </w:rPr>
        <w:t>®</w:t>
      </w:r>
      <w:r>
        <w:rPr>
          <w:lang w:eastAsia="en-AU"/>
        </w:rPr>
        <w:t xml:space="preserve"> is a crystalline substance, that contains greater than or equal to 90% NRC, </w:t>
      </w:r>
      <w:r>
        <w:rPr>
          <w:lang w:eastAsia="en-AU"/>
        </w:rPr>
        <w:lastRenderedPageBreak/>
        <w:t>the remaining components being residual solvents, reaction by-products and degradation products.</w:t>
      </w:r>
    </w:p>
    <w:p w14:paraId="3BDFE4FD" w14:textId="77777777" w:rsidR="002F7125" w:rsidRDefault="002F7125" w:rsidP="002F7125"/>
    <w:p w14:paraId="1760991A" w14:textId="59000E62" w:rsidR="002F7125" w:rsidRDefault="002F7125" w:rsidP="002F7125">
      <w:pPr>
        <w:rPr>
          <w:lang w:eastAsia="en-AU"/>
        </w:rPr>
      </w:pPr>
      <w:r w:rsidRPr="004A7599">
        <w:rPr>
          <w:lang w:eastAsia="en-AU"/>
        </w:rPr>
        <w:t xml:space="preserve">NMR testing is undertaken </w:t>
      </w:r>
      <w:r>
        <w:rPr>
          <w:lang w:eastAsia="en-AU"/>
        </w:rPr>
        <w:t xml:space="preserve">by the manufacturer of NRC </w:t>
      </w:r>
      <w:r w:rsidRPr="004A7599">
        <w:rPr>
          <w:lang w:eastAsia="en-AU"/>
        </w:rPr>
        <w:t>to ensure that the NRC is predomina</w:t>
      </w:r>
      <w:r w:rsidR="000D1B6B">
        <w:rPr>
          <w:lang w:eastAsia="en-AU"/>
        </w:rPr>
        <w:t>n</w:t>
      </w:r>
      <w:r w:rsidRPr="004A7599">
        <w:rPr>
          <w:lang w:eastAsia="en-AU"/>
        </w:rPr>
        <w:t xml:space="preserve">tly the </w:t>
      </w:r>
      <w:r>
        <w:rPr>
          <w:rFonts w:cs="Arial"/>
          <w:lang w:eastAsia="en-AU"/>
        </w:rPr>
        <w:t>β</w:t>
      </w:r>
      <w:r>
        <w:rPr>
          <w:lang w:eastAsia="en-AU"/>
        </w:rPr>
        <w:t xml:space="preserve"> </w:t>
      </w:r>
      <w:r w:rsidRPr="004A7599">
        <w:rPr>
          <w:lang w:eastAsia="en-AU"/>
        </w:rPr>
        <w:t>form of nicotinamide riboside.</w:t>
      </w:r>
      <w:r>
        <w:rPr>
          <w:lang w:eastAsia="en-AU"/>
        </w:rPr>
        <w:t xml:space="preserve"> Stability tests indicate NRC is stable for up to two years in powdered FSMP formulations.</w:t>
      </w:r>
    </w:p>
    <w:p w14:paraId="6FDE3017" w14:textId="77777777" w:rsidR="002F7125" w:rsidRDefault="002F7125" w:rsidP="002F7125"/>
    <w:p w14:paraId="39E7E4A8" w14:textId="7234B2C5" w:rsidR="002F7125" w:rsidRDefault="002F7125" w:rsidP="002F7125">
      <w:r w:rsidRPr="00007C1D">
        <w:t xml:space="preserve">The </w:t>
      </w:r>
      <w:r w:rsidR="00084E5E">
        <w:t>A</w:t>
      </w:r>
      <w:r w:rsidRPr="00007C1D">
        <w:t xml:space="preserve">pplicant has proposed specifications to be included in Schedule 3 for the use of </w:t>
      </w:r>
      <w:r>
        <w:rPr>
          <w:lang w:eastAsia="en-AU"/>
        </w:rPr>
        <w:t xml:space="preserve">NRC </w:t>
      </w:r>
      <w:r w:rsidRPr="00007C1D">
        <w:t xml:space="preserve">in </w:t>
      </w:r>
      <w:r>
        <w:t>FSMPs.</w:t>
      </w:r>
      <w:r w:rsidRPr="00007C1D">
        <w:t xml:space="preserve"> </w:t>
      </w:r>
      <w:r>
        <w:t xml:space="preserve">FSANZ has developed a specification based on this information. </w:t>
      </w:r>
    </w:p>
    <w:p w14:paraId="103BD614" w14:textId="77777777" w:rsidR="002F7125" w:rsidRDefault="002F7125" w:rsidP="002F7125"/>
    <w:p w14:paraId="629076F5" w14:textId="6ABB225B" w:rsidR="002F7125" w:rsidRDefault="002F7125" w:rsidP="002F7125">
      <w:r>
        <w:t>On the basis of the available data, NRC appears to be well characterised, and sufficiently stable in powdered FSMP products.</w:t>
      </w:r>
    </w:p>
    <w:p w14:paraId="27629FA1" w14:textId="77777777" w:rsidR="002F7125" w:rsidRDefault="002F7125" w:rsidP="0029778E">
      <w:pPr>
        <w:rPr>
          <w:lang w:bidi="ar-SA"/>
        </w:rPr>
      </w:pPr>
    </w:p>
    <w:p w14:paraId="709163D0" w14:textId="77777777" w:rsidR="00463F16" w:rsidRDefault="00463F16">
      <w:pPr>
        <w:widowControl/>
        <w:rPr>
          <w:b/>
          <w:bCs/>
          <w:sz w:val="36"/>
          <w:szCs w:val="28"/>
          <w:lang w:bidi="ar-SA"/>
        </w:rPr>
      </w:pPr>
      <w:r>
        <w:br w:type="page"/>
      </w:r>
    </w:p>
    <w:p w14:paraId="1FC821CE" w14:textId="3FA28998" w:rsidR="006C4195" w:rsidRDefault="006C4195" w:rsidP="002B2C32">
      <w:pPr>
        <w:pStyle w:val="Heading1"/>
        <w:numPr>
          <w:ilvl w:val="0"/>
          <w:numId w:val="4"/>
        </w:numPr>
        <w:spacing w:before="0"/>
        <w:ind w:left="567" w:hanging="567"/>
      </w:pPr>
      <w:bookmarkStart w:id="753" w:name="_Toc453666511"/>
      <w:bookmarkStart w:id="754" w:name="_Toc49184845"/>
      <w:bookmarkStart w:id="755" w:name="_Toc50478519"/>
      <w:bookmarkStart w:id="756" w:name="_Toc50546925"/>
      <w:bookmarkStart w:id="757" w:name="_Toc50559144"/>
      <w:bookmarkStart w:id="758" w:name="_Toc50622402"/>
      <w:bookmarkStart w:id="759" w:name="_Toc50635500"/>
      <w:bookmarkStart w:id="760" w:name="_Toc51009511"/>
      <w:bookmarkStart w:id="761" w:name="_Toc51011956"/>
      <w:bookmarkStart w:id="762" w:name="_Toc51257174"/>
      <w:bookmarkStart w:id="763" w:name="_Toc51326863"/>
      <w:bookmarkStart w:id="764" w:name="_Toc51330278"/>
      <w:bookmarkStart w:id="765" w:name="_Toc52201110"/>
      <w:bookmarkStart w:id="766" w:name="_Toc54775675"/>
      <w:bookmarkStart w:id="767" w:name="_Toc54776665"/>
      <w:bookmarkStart w:id="768" w:name="_Toc65509092"/>
      <w:bookmarkStart w:id="769" w:name="_Toc65578829"/>
      <w:bookmarkStart w:id="770" w:name="_Toc65587223"/>
      <w:bookmarkStart w:id="771" w:name="_Toc65587239"/>
      <w:bookmarkStart w:id="772" w:name="_Toc65682803"/>
      <w:bookmarkStart w:id="773" w:name="_Toc65764344"/>
      <w:bookmarkStart w:id="774" w:name="_Toc65764677"/>
      <w:bookmarkStart w:id="775" w:name="_Toc65841246"/>
      <w:bookmarkStart w:id="776" w:name="_Toc66443261"/>
      <w:bookmarkStart w:id="777" w:name="_Toc66436817"/>
      <w:bookmarkStart w:id="778" w:name="_Toc66458169"/>
      <w:bookmarkStart w:id="779" w:name="_Toc66451443"/>
      <w:bookmarkStart w:id="780" w:name="_Toc66458836"/>
      <w:bookmarkStart w:id="781" w:name="_Toc66458969"/>
      <w:bookmarkStart w:id="782" w:name="_Toc66461664"/>
      <w:bookmarkStart w:id="783" w:name="_Toc69899773"/>
      <w:r>
        <w:lastRenderedPageBreak/>
        <w:t>Dietary intake assessment</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234CA4F5" w14:textId="37BEB91C" w:rsidR="006C4195" w:rsidRPr="006C4195" w:rsidRDefault="00603879" w:rsidP="006C4195">
      <w:r w:rsidRPr="00AD679E">
        <w:t>An estimate of the d</w:t>
      </w:r>
      <w:r w:rsidR="006C4195" w:rsidRPr="00AD679E">
        <w:t xml:space="preserve">ietary intake of NR </w:t>
      </w:r>
      <w:r w:rsidRPr="00AD679E">
        <w:t>was</w:t>
      </w:r>
      <w:r w:rsidR="006C4195" w:rsidRPr="00AD679E">
        <w:t xml:space="preserve"> not considered </w:t>
      </w:r>
      <w:r w:rsidRPr="00AD679E">
        <w:t>necessary for this</w:t>
      </w:r>
      <w:r w:rsidR="006C4195" w:rsidRPr="00AD679E">
        <w:t xml:space="preserve"> assessment as niacin is already permitted to be added to FSMP, </w:t>
      </w:r>
      <w:r w:rsidRPr="00AD679E">
        <w:t>and the applicant is not requesting a change in the permitted level of addition</w:t>
      </w:r>
      <w:r w:rsidR="006C4195" w:rsidRPr="00AD679E">
        <w:t xml:space="preserve">. The </w:t>
      </w:r>
      <w:r w:rsidR="00E5401F">
        <w:t>C</w:t>
      </w:r>
      <w:r w:rsidR="006C4195" w:rsidRPr="00AD679E">
        <w:t xml:space="preserve">ode also permits the addition of </w:t>
      </w:r>
      <w:r w:rsidR="0005023E" w:rsidRPr="00AD679E">
        <w:t>niacin</w:t>
      </w:r>
      <w:r w:rsidR="006C4195" w:rsidRPr="00AD679E">
        <w:t xml:space="preserve"> to certain foods other than FSMPs in the form of both nicotinic acid and nicotinamide.</w:t>
      </w:r>
    </w:p>
    <w:p w14:paraId="648945C7" w14:textId="60D1EE15" w:rsidR="006720EF" w:rsidRDefault="006720EF" w:rsidP="006720EF"/>
    <w:p w14:paraId="2BE26C15" w14:textId="61B442BD" w:rsidR="00AE20A9" w:rsidRPr="00BE1DC7" w:rsidRDefault="009D3624" w:rsidP="001A645C">
      <w:r w:rsidRPr="00BE1DC7">
        <w:t xml:space="preserve">There are already published </w:t>
      </w:r>
      <w:r w:rsidR="00233807" w:rsidRPr="00BE1DC7">
        <w:t>usual daily</w:t>
      </w:r>
      <w:r w:rsidR="0049165F" w:rsidRPr="00BE1DC7">
        <w:t xml:space="preserve"> </w:t>
      </w:r>
      <w:r w:rsidRPr="00BE1DC7">
        <w:t xml:space="preserve">dietary intakes </w:t>
      </w:r>
      <w:r w:rsidR="0049165F" w:rsidRPr="00BE1DC7">
        <w:t>of</w:t>
      </w:r>
      <w:r w:rsidRPr="00BE1DC7">
        <w:t xml:space="preserve"> niacin equivalents </w:t>
      </w:r>
      <w:r w:rsidR="00AE20A9">
        <w:t>for</w:t>
      </w:r>
      <w:r w:rsidR="00466BAB">
        <w:t xml:space="preserve"> the general population for</w:t>
      </w:r>
      <w:r w:rsidR="00AE20A9">
        <w:t xml:space="preserve"> both Australia (</w:t>
      </w:r>
      <w:r w:rsidR="008715AF">
        <w:t xml:space="preserve">from the 2011-12 </w:t>
      </w:r>
      <w:r w:rsidR="00466BAB">
        <w:t xml:space="preserve">Australian </w:t>
      </w:r>
      <w:r w:rsidR="008715AF">
        <w:t xml:space="preserve">National Nutrition </w:t>
      </w:r>
      <w:r w:rsidR="00466BAB">
        <w:t xml:space="preserve">and Physical Activity </w:t>
      </w:r>
      <w:r w:rsidR="008715AF">
        <w:t>S</w:t>
      </w:r>
      <w:r w:rsidR="006C4195" w:rsidRPr="00BE1DC7">
        <w:t>urvey</w:t>
      </w:r>
      <w:r w:rsidR="00466BAB">
        <w:t xml:space="preserve"> (</w:t>
      </w:r>
      <w:r w:rsidR="00D30BD8">
        <w:t>ABS 2014a and 2014b</w:t>
      </w:r>
      <w:r w:rsidR="00466BAB">
        <w:t>)</w:t>
      </w:r>
      <w:r w:rsidR="008715AF">
        <w:t>,</w:t>
      </w:r>
      <w:r w:rsidR="00BE1DC7">
        <w:t xml:space="preserve"> </w:t>
      </w:r>
      <w:r w:rsidR="00466BAB">
        <w:t xml:space="preserve">and for </w:t>
      </w:r>
      <w:r w:rsidR="00BE1DC7">
        <w:t xml:space="preserve">New Zealand </w:t>
      </w:r>
      <w:r w:rsidR="00466BAB">
        <w:t xml:space="preserve">from the </w:t>
      </w:r>
      <w:r w:rsidR="00BE1DC7" w:rsidRPr="00BC485A">
        <w:t>2002 National Children’s Nutrition Survey</w:t>
      </w:r>
      <w:r w:rsidR="00BF4E0F">
        <w:t xml:space="preserve"> (</w:t>
      </w:r>
      <w:r w:rsidR="00D30BD8">
        <w:t>Ministry of Health 2003; Ministry of Health 2005</w:t>
      </w:r>
      <w:r w:rsidR="00BF4E0F">
        <w:t>)</w:t>
      </w:r>
      <w:r w:rsidR="00BE1DC7">
        <w:t xml:space="preserve">, and the 2008-09 </w:t>
      </w:r>
      <w:r w:rsidR="00BE1DC7" w:rsidRPr="00BC485A">
        <w:t>Adult Nutrition Survey</w:t>
      </w:r>
      <w:r w:rsidR="00BF4E0F">
        <w:t xml:space="preserve"> (</w:t>
      </w:r>
      <w:r w:rsidR="00D30BD8">
        <w:t>Ministry of Health 2011a; Ministry of Health 2011b</w:t>
      </w:r>
      <w:r w:rsidR="00BF4E0F">
        <w:t>)</w:t>
      </w:r>
      <w:r w:rsidR="00466BAB">
        <w:t>. For context these dietary intakes</w:t>
      </w:r>
      <w:r w:rsidR="006C4195" w:rsidRPr="00BE1DC7">
        <w:t xml:space="preserve"> shown in </w:t>
      </w:r>
      <w:r w:rsidRPr="00FB67BF">
        <w:rPr>
          <w:b/>
        </w:rPr>
        <w:t>Appendix 1</w:t>
      </w:r>
      <w:r w:rsidR="00466BAB" w:rsidRPr="00FB67BF">
        <w:rPr>
          <w:b/>
        </w:rPr>
        <w:t xml:space="preserve"> </w:t>
      </w:r>
      <w:r w:rsidR="00466BAB">
        <w:t>(Table A1.1 for Australia and Table A1.2 for New Zealand</w:t>
      </w:r>
      <w:r w:rsidR="00BF4E0F">
        <w:t xml:space="preserve"> children 5-14 years and Table A1.3 for New Zealanders aged 15 years and above)</w:t>
      </w:r>
      <w:r w:rsidR="00BE1DC7">
        <w:t>.</w:t>
      </w:r>
      <w:r w:rsidR="00BF4E0F">
        <w:t xml:space="preserve"> </w:t>
      </w:r>
      <w:r w:rsidR="00E44ADF">
        <w:t>The contribution of the major food groups to dietary intakes of niacin equivalents is shown in Table A1.4 for Australia and New Zealand.</w:t>
      </w:r>
    </w:p>
    <w:p w14:paraId="5B713675" w14:textId="77777777" w:rsidR="00145708" w:rsidRPr="00BE1DC7" w:rsidRDefault="00145708" w:rsidP="001A645C"/>
    <w:p w14:paraId="7A93E0F9" w14:textId="7F2E110F" w:rsidR="009A1AD4" w:rsidRPr="00AE20A9" w:rsidRDefault="009A1AD4" w:rsidP="001A645C">
      <w:r w:rsidRPr="00AE20A9">
        <w:t>T</w:t>
      </w:r>
      <w:r w:rsidR="0049165F" w:rsidRPr="00AE20A9">
        <w:t xml:space="preserve">he </w:t>
      </w:r>
      <w:r w:rsidRPr="00AE20A9">
        <w:t>consumption of FSMP</w:t>
      </w:r>
      <w:r w:rsidR="0049165F" w:rsidRPr="00AE20A9">
        <w:t xml:space="preserve"> food which in this case</w:t>
      </w:r>
      <w:r w:rsidR="00E44ADF">
        <w:t xml:space="preserve"> are</w:t>
      </w:r>
      <w:r w:rsidR="0049165F" w:rsidRPr="00AE20A9">
        <w:t xml:space="preserve"> </w:t>
      </w:r>
      <w:r w:rsidR="00ED565C" w:rsidRPr="00AE20A9">
        <w:t>n</w:t>
      </w:r>
      <w:r w:rsidR="0049165F" w:rsidRPr="00AE20A9">
        <w:t>utrition/protein d</w:t>
      </w:r>
      <w:r w:rsidR="00ED565C" w:rsidRPr="00AE20A9">
        <w:t xml:space="preserve">rinks and special dietary foods </w:t>
      </w:r>
      <w:r w:rsidR="00E44ADF">
        <w:t>used</w:t>
      </w:r>
      <w:r w:rsidR="00E44ADF" w:rsidRPr="00AE20A9">
        <w:t xml:space="preserve"> </w:t>
      </w:r>
      <w:r w:rsidR="0049165F" w:rsidRPr="00AE20A9">
        <w:t>under medical supervision,</w:t>
      </w:r>
      <w:r w:rsidR="00ED565C" w:rsidRPr="00AE20A9">
        <w:t xml:space="preserve"> </w:t>
      </w:r>
      <w:r w:rsidRPr="00AE20A9">
        <w:t xml:space="preserve">and therefore, </w:t>
      </w:r>
      <w:r w:rsidR="0049165F" w:rsidRPr="00AE20A9">
        <w:t xml:space="preserve">fall outside the scope of food </w:t>
      </w:r>
      <w:r w:rsidR="00E44ADF">
        <w:t xml:space="preserve">consumption data </w:t>
      </w:r>
      <w:r w:rsidR="0049165F" w:rsidRPr="00AE20A9">
        <w:t>available from Australian or New Zealand National Nutrition Surveys (NNSs).</w:t>
      </w:r>
      <w:r w:rsidR="0049165F" w:rsidRPr="00AE20A9" w:rsidDel="00E44ADF">
        <w:t xml:space="preserve"> </w:t>
      </w:r>
      <w:r w:rsidR="00E44ADF">
        <w:t>Therefore nationally representative consumption data for these products are not available</w:t>
      </w:r>
      <w:r w:rsidRPr="00AE20A9">
        <w:t>.</w:t>
      </w:r>
    </w:p>
    <w:p w14:paraId="6C252718" w14:textId="41270531" w:rsidR="00463F16" w:rsidRDefault="00463F16" w:rsidP="0029778E"/>
    <w:p w14:paraId="5CA4BB39" w14:textId="60C7CAD7" w:rsidR="00AD679E" w:rsidRDefault="00AD679E" w:rsidP="00AD679E">
      <w:r>
        <w:t xml:space="preserve">The hazard assessment did not identify any non-nutrient chemicals or compounds of a public health and safety concern associated with the addition of NRC to FSMP for which a dietary </w:t>
      </w:r>
      <w:r w:rsidR="00DC31D9">
        <w:t xml:space="preserve">exposure </w:t>
      </w:r>
      <w:r>
        <w:t>assessment was warranted.</w:t>
      </w:r>
    </w:p>
    <w:p w14:paraId="10FF0C3C" w14:textId="77777777" w:rsidR="00AD679E" w:rsidRDefault="00AD679E" w:rsidP="0029778E"/>
    <w:p w14:paraId="48F6D911" w14:textId="77777777" w:rsidR="00463F16" w:rsidRPr="006C4195" w:rsidRDefault="00463F16" w:rsidP="006C4195">
      <w:r>
        <w:br w:type="page"/>
      </w:r>
    </w:p>
    <w:p w14:paraId="1BD23088" w14:textId="5DACEC76" w:rsidR="00463F16" w:rsidRPr="00A050CC" w:rsidRDefault="00463F16" w:rsidP="00CA5D21">
      <w:pPr>
        <w:pStyle w:val="Heading1"/>
        <w:numPr>
          <w:ilvl w:val="0"/>
          <w:numId w:val="4"/>
        </w:numPr>
        <w:spacing w:before="0"/>
        <w:ind w:left="567" w:hanging="567"/>
      </w:pPr>
      <w:bookmarkStart w:id="784" w:name="_Toc65509095"/>
      <w:bookmarkStart w:id="785" w:name="_Toc65578832"/>
      <w:bookmarkStart w:id="786" w:name="_Toc65587226"/>
      <w:bookmarkStart w:id="787" w:name="_Toc65587242"/>
      <w:bookmarkStart w:id="788" w:name="_Toc65682806"/>
      <w:bookmarkStart w:id="789" w:name="_Toc65764347"/>
      <w:bookmarkStart w:id="790" w:name="_Toc65764680"/>
      <w:bookmarkStart w:id="791" w:name="_Toc65841249"/>
      <w:bookmarkStart w:id="792" w:name="_Toc66443262"/>
      <w:bookmarkStart w:id="793" w:name="_Toc66436818"/>
      <w:bookmarkStart w:id="794" w:name="_Toc66458170"/>
      <w:bookmarkStart w:id="795" w:name="_Toc66451444"/>
      <w:bookmarkStart w:id="796" w:name="_Toc66458837"/>
      <w:bookmarkStart w:id="797" w:name="_Toc66458970"/>
      <w:bookmarkStart w:id="798" w:name="_Toc66461665"/>
      <w:bookmarkStart w:id="799" w:name="_Toc69899774"/>
      <w:r w:rsidRPr="00A050CC">
        <w:lastRenderedPageBreak/>
        <w:t>Risk Assessment Conclusions</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5A186BF8" w14:textId="439ED4BC" w:rsidR="001952A6" w:rsidRPr="00502E6F" w:rsidRDefault="00871052" w:rsidP="001952A6">
      <w:r w:rsidRPr="00871052">
        <w:rPr>
          <w:lang w:bidi="ar-SA"/>
        </w:rPr>
        <w:t>FSANZ has assessed an application fr</w:t>
      </w:r>
      <w:r w:rsidR="00DC31D9">
        <w:rPr>
          <w:lang w:bidi="ar-SA"/>
        </w:rPr>
        <w:t xml:space="preserve">om ChromaDex Inc. to amend the </w:t>
      </w:r>
      <w:r w:rsidRPr="00871052">
        <w:rPr>
          <w:lang w:bidi="ar-SA"/>
        </w:rPr>
        <w:t xml:space="preserve">Code to permit the use of </w:t>
      </w:r>
      <w:r>
        <w:rPr>
          <w:lang w:bidi="ar-SA"/>
        </w:rPr>
        <w:t>NRC</w:t>
      </w:r>
      <w:r w:rsidRPr="00871052">
        <w:rPr>
          <w:lang w:bidi="ar-SA"/>
        </w:rPr>
        <w:t xml:space="preserve"> as a permitted form of Vitamin B3 in FSMPs.</w:t>
      </w:r>
      <w:r w:rsidR="00124E74">
        <w:rPr>
          <w:lang w:bidi="ar-SA"/>
        </w:rPr>
        <w:t xml:space="preserve"> </w:t>
      </w:r>
      <w:r w:rsidR="001952A6" w:rsidRPr="00871052">
        <w:t>Vitamin B3 (niacin) functions as a source of NAD</w:t>
      </w:r>
      <w:r w:rsidR="001952A6" w:rsidRPr="00871052">
        <w:rPr>
          <w:vertAlign w:val="superscript"/>
        </w:rPr>
        <w:t>+</w:t>
      </w:r>
      <w:r w:rsidR="001952A6" w:rsidRPr="00871052">
        <w:t xml:space="preserve"> in the body that is required for a range of cellular functions. </w:t>
      </w:r>
      <w:r w:rsidRPr="00871052">
        <w:t>S</w:t>
      </w:r>
      <w:r w:rsidR="001952A6" w:rsidRPr="00871052">
        <w:t xml:space="preserve">everal studies </w:t>
      </w:r>
      <w:r w:rsidR="00FD12D2">
        <w:t>reviewed by FSANZ</w:t>
      </w:r>
      <w:r w:rsidR="001952A6" w:rsidRPr="00871052">
        <w:t xml:space="preserve"> have </w:t>
      </w:r>
      <w:r w:rsidR="001952A6" w:rsidRPr="00502E6F">
        <w:t xml:space="preserve">shown that </w:t>
      </w:r>
      <w:r w:rsidR="00FD12D2">
        <w:t>NRC</w:t>
      </w:r>
      <w:r w:rsidR="001952A6" w:rsidRPr="00502E6F">
        <w:t xml:space="preserve"> is an alternative form of niacin that can be metabolised to NAD</w:t>
      </w:r>
      <w:r w:rsidR="001952A6" w:rsidRPr="00502E6F">
        <w:rPr>
          <w:vertAlign w:val="superscript"/>
        </w:rPr>
        <w:t>+</w:t>
      </w:r>
      <w:r w:rsidR="001952A6" w:rsidRPr="00502E6F">
        <w:t xml:space="preserve">. </w:t>
      </w:r>
    </w:p>
    <w:p w14:paraId="75F2F789" w14:textId="77777777" w:rsidR="001952A6" w:rsidRPr="00502E6F" w:rsidRDefault="001952A6" w:rsidP="001952A6"/>
    <w:p w14:paraId="295B4629" w14:textId="2A762071" w:rsidR="00E76F33" w:rsidRPr="00E76F33" w:rsidRDefault="00E76F33" w:rsidP="00E76F33">
      <w:r w:rsidRPr="00E76F33">
        <w:t>To determine the bioavailability of NRC, FSANZ considered studies in humans</w:t>
      </w:r>
      <w:r w:rsidRPr="00E76F33" w:rsidDel="00911E33">
        <w:t xml:space="preserve"> </w:t>
      </w:r>
      <w:r w:rsidRPr="00E76F33">
        <w:t>and in laboratory animals on the effect of NRC supplementation on the concentration of nicotinamide adenine dinucleotide (NAD</w:t>
      </w:r>
      <w:r w:rsidRPr="00E76F33">
        <w:rPr>
          <w:vertAlign w:val="superscript"/>
        </w:rPr>
        <w:t>+</w:t>
      </w:r>
      <w:r w:rsidRPr="00E76F33">
        <w:t>) and metabolites in blood and/or urine. In human studies, NRC supplementation (100 to 2000 mg/day) in volunteers was associated with increases in blood concentrations of NAD</w:t>
      </w:r>
      <w:r w:rsidRPr="00E76F33">
        <w:rPr>
          <w:vertAlign w:val="superscript"/>
        </w:rPr>
        <w:t>+</w:t>
      </w:r>
      <w:r w:rsidRPr="00E76F33">
        <w:t xml:space="preserve"> and several NAD</w:t>
      </w:r>
      <w:r w:rsidRPr="00E76F33">
        <w:rPr>
          <w:vertAlign w:val="superscript"/>
        </w:rPr>
        <w:t>+</w:t>
      </w:r>
      <w:r w:rsidRPr="00E76F33">
        <w:t xml:space="preserve"> metabolites, relative to baseline values or placebo treatments showing that it is a bioavailable form of niacin. However, none of the studies included a </w:t>
      </w:r>
      <w:r w:rsidR="00F15421">
        <w:t xml:space="preserve">comparator </w:t>
      </w:r>
      <w:r w:rsidRPr="00E76F33">
        <w:t xml:space="preserve">treatment group receiving nicotinic acid (NA) or nicotinamide (Nam) so it was not possible to establish bioequivalence to already permitted forms of niacin in the Code. </w:t>
      </w:r>
    </w:p>
    <w:p w14:paraId="2D9F6684" w14:textId="77777777" w:rsidR="00E76F33" w:rsidRPr="00E76F33" w:rsidRDefault="00E76F33" w:rsidP="00E76F33"/>
    <w:p w14:paraId="572CA4B4" w14:textId="00296906" w:rsidR="00E76F33" w:rsidRPr="00E76F33" w:rsidRDefault="00E76F33" w:rsidP="00E76F33">
      <w:r w:rsidRPr="00E76F33">
        <w:t>NRC has been shown to increase hepatic NAD</w:t>
      </w:r>
      <w:r w:rsidRPr="00E76F33">
        <w:rPr>
          <w:vertAlign w:val="superscript"/>
        </w:rPr>
        <w:t>+</w:t>
      </w:r>
      <w:r w:rsidRPr="00E76F33">
        <w:t xml:space="preserve"> levels in mice</w:t>
      </w:r>
      <w:r w:rsidR="00EC6B49" w:rsidRPr="00EC6B49">
        <w:t xml:space="preserve"> </w:t>
      </w:r>
      <w:r w:rsidR="00EC6B49">
        <w:t>and</w:t>
      </w:r>
      <w:r w:rsidR="00EC6B49" w:rsidRPr="004E0B3A">
        <w:t xml:space="preserve"> </w:t>
      </w:r>
      <w:r w:rsidR="00E05FE0">
        <w:t xml:space="preserve">increase </w:t>
      </w:r>
      <w:r w:rsidR="00EC6B49" w:rsidRPr="004E0B3A">
        <w:t xml:space="preserve">plasma MeNam concentrations </w:t>
      </w:r>
      <w:r w:rsidR="00EC6B49">
        <w:t>in other animal studies.</w:t>
      </w:r>
      <w:r w:rsidRPr="00E76F33">
        <w:t xml:space="preserve"> A 90-day rat study showed that similar doses of NRC or Nam caused an elevation of plasma Nam and MeNam. Similar plasma concentrations of MeNam were observed in the two treatment groups, however the maximum plasma concentration (Cmax) and total systemic exposure (AUC) to Nam was higher (approximately 1.6- to 1.8-fold) in the Nam group compared to the NRC group. Plasma MeNam levels peaked earlier in the NRC group than in the Nam group.</w:t>
      </w:r>
      <w:r w:rsidRPr="00E76F33">
        <w:rPr>
          <w:highlight w:val="yellow"/>
        </w:rPr>
        <w:t xml:space="preserve"> </w:t>
      </w:r>
    </w:p>
    <w:p w14:paraId="66B7638E" w14:textId="77777777" w:rsidR="00E76F33" w:rsidRPr="00E76F33" w:rsidRDefault="00E76F33" w:rsidP="00E76F33"/>
    <w:p w14:paraId="24733A72" w14:textId="77CE9E14" w:rsidR="00E76F33" w:rsidRPr="00E76F33" w:rsidRDefault="00E76F33" w:rsidP="00E76F33">
      <w:r w:rsidRPr="00E76F33">
        <w:t xml:space="preserve">FSANZ concludes that based on the available evidence in laboratory animals and humans NRC is a bioavailable form of niacin which at intakes ranging from 100 to 2000 mg/day in humans would be expected to support normal physiological function. </w:t>
      </w:r>
      <w:r w:rsidRPr="00E76F33">
        <w:rPr>
          <w:rFonts w:cs="Arial"/>
          <w:lang w:val="mi-NZ"/>
        </w:rPr>
        <w:t xml:space="preserve">In the absence of human studies to establish the bioavailability of NRC compared to already permitted forms of niacin, FSANZ cannot judge with certainty the extent to which lower NRC intakes which match adult Recommended Dietary Intakes for niacin (14 mg/day in women, 16 mg/day in men) would support essential requirements, when it is the only form of vitamin B3 in the diet. </w:t>
      </w:r>
      <w:r w:rsidRPr="00E76F33">
        <w:t xml:space="preserve"> </w:t>
      </w:r>
    </w:p>
    <w:p w14:paraId="544BB1F0" w14:textId="77777777" w:rsidR="007364A5" w:rsidRPr="007E4D1B" w:rsidRDefault="007364A5" w:rsidP="007364A5"/>
    <w:p w14:paraId="2103A395" w14:textId="6229F697" w:rsidR="001952A6" w:rsidRPr="007E4D1B" w:rsidRDefault="007364A5" w:rsidP="001952A6">
      <w:r w:rsidRPr="007E4D1B">
        <w:t>No evidence was identified to indicate that NRC would inhibit the absorption of other nutrients.</w:t>
      </w:r>
    </w:p>
    <w:p w14:paraId="00850A31" w14:textId="58EE5105" w:rsidR="00C6339D" w:rsidRPr="007E4D1B" w:rsidRDefault="00C6339D" w:rsidP="001952A6"/>
    <w:p w14:paraId="512BB944" w14:textId="135D1AD6" w:rsidR="00E76F33" w:rsidRPr="00E76F33" w:rsidRDefault="00E76F33" w:rsidP="00E76F33">
      <w:r w:rsidRPr="00E76F33">
        <w:t>The acute oral toxicity of NRC is low. No adverse effects were observed in rats gavaged with NRC at 300 mg/kg bw/day for 90 days, but statistically significant changes in some clinical pathology parameters were observed in rats dosed with 1000 mg/kg bw/day. In the same study, a number of adverse effects were observed in rats dosed with 3000 mg/kg bw/day, but the same adverse changes occurred in a positive control group of rats treated with an equimolar dose of Nam (1260 mg/kg bw/day).</w:t>
      </w:r>
      <w:r w:rsidR="00EC6B49" w:rsidRPr="00EC6B49">
        <w:t xml:space="preserve"> </w:t>
      </w:r>
      <w:r w:rsidR="00EC6B49">
        <w:t>Additional animal studies also</w:t>
      </w:r>
      <w:r w:rsidRPr="00E76F33">
        <w:t xml:space="preserve"> </w:t>
      </w:r>
      <w:r w:rsidR="00D80281">
        <w:t>supported</w:t>
      </w:r>
      <w:r w:rsidRPr="00E76F33">
        <w:t xml:space="preserve"> a NOAEL of 300 mg/kg bw/day. </w:t>
      </w:r>
    </w:p>
    <w:p w14:paraId="156F4371" w14:textId="77777777" w:rsidR="00E76F33" w:rsidRPr="00E76F33" w:rsidRDefault="00E76F33" w:rsidP="00E76F33"/>
    <w:p w14:paraId="687B0271" w14:textId="77777777" w:rsidR="00E76F33" w:rsidRPr="00E76F33" w:rsidRDefault="00E76F33" w:rsidP="00E76F33">
      <w:r w:rsidRPr="00E76F33">
        <w:t>No chronic toxicity/carcinogenicity studies of NRC were submitted or located from other sources, but NRC was not genotoxic and no pre-neoplastic lesions were observed in the 90 day rat study. In a developmental study in rats, the fetal NOAEL was identified as 750 mg/kg bw/day on the basis of decreased fetal bodyweights at 1500 mg/kg bw/day, together with increases in the incidence of abnormalities com</w:t>
      </w:r>
      <w:r w:rsidRPr="00E76F33">
        <w:lastRenderedPageBreak/>
        <w:t>monly observed in association with maternal toxicity. In a one-generation reproductive study in rats,</w:t>
      </w:r>
      <w:r w:rsidRPr="00E76F33" w:rsidDel="00D85AC7">
        <w:t xml:space="preserve"> </w:t>
      </w:r>
      <w:r w:rsidRPr="00E76F33">
        <w:t>the NOAEL for fertility and reproductive performance was 12 000 ppm in the parental diet, the highest dose tested, equivalent to 675.2 mg/kg bw/day NRC in P generation males and 1088.4 mg/kg bw/day NRC in P generation females.</w:t>
      </w:r>
    </w:p>
    <w:p w14:paraId="39B72803" w14:textId="77777777" w:rsidR="007364A5" w:rsidRPr="007364A5" w:rsidRDefault="007364A5" w:rsidP="007364A5"/>
    <w:p w14:paraId="4286E03E" w14:textId="625297CE" w:rsidR="007364A5" w:rsidRPr="007364A5" w:rsidRDefault="007364A5" w:rsidP="007364A5">
      <w:r w:rsidRPr="007364A5">
        <w:t xml:space="preserve">In human tolerance studies of up to 12 weeks in duration, NRC was well tolerated at doses </w:t>
      </w:r>
    </w:p>
    <w:p w14:paraId="4B558C9B" w14:textId="77777777" w:rsidR="007364A5" w:rsidRPr="007364A5" w:rsidRDefault="007364A5" w:rsidP="007364A5"/>
    <w:p w14:paraId="4B1913A0" w14:textId="43E94B90" w:rsidR="00E76F33" w:rsidRPr="00E76F33" w:rsidRDefault="00E76F33" w:rsidP="00E76F33">
      <w:r w:rsidRPr="00E76F33">
        <w:t>NRC would not be expected to be an allergen, on the basis of its rapid metabolism to Nam and low molecular weight. No case reports of allergic reactions to NRC were located by literature search.</w:t>
      </w:r>
    </w:p>
    <w:p w14:paraId="1C12B5A6" w14:textId="77777777" w:rsidR="00E76F33" w:rsidRPr="00E76F33" w:rsidRDefault="00E76F33" w:rsidP="00E76F33"/>
    <w:p w14:paraId="14CF5096" w14:textId="77777777" w:rsidR="00E76F33" w:rsidRPr="00E76F33" w:rsidRDefault="00E76F33" w:rsidP="00E76F33">
      <w:r w:rsidRPr="00E76F33">
        <w:t>Since NRC is metabolised to Nam it is important to consider NRC intakes relative to  the upper level of intake (UL) for Nam. The maximum daily intake of NRC proposed in the Application was 1000 mg/day, which assuming equimolar conversion, is equivalent to 420 mg Nam. This is less than half the UL for Nam in non-pregnant, non-lactating adults (900 mg), and is also below the UL for children aged 9-13 years (500 mg/day) and adolescents aged 14-18 years (750 mg/day). It is above the UL for children aged 1-3 years (150 mg/day) and 4-8 years (250 mg/day), however it is expected that FSMPs are prescribed by, and will be used under the supervision of medical practitioners, at intakes that would not exceed the UL.</w:t>
      </w:r>
    </w:p>
    <w:p w14:paraId="70535591" w14:textId="77777777" w:rsidR="00E76F33" w:rsidRPr="00E76F33" w:rsidRDefault="00E76F33" w:rsidP="00E76F33"/>
    <w:p w14:paraId="48069C07" w14:textId="77777777" w:rsidR="00E76F33" w:rsidRPr="00E76F33" w:rsidRDefault="00E76F33" w:rsidP="00E76F33">
      <w:r w:rsidRPr="00E76F33">
        <w:t xml:space="preserve">The margin of exposure (MOE) between the NOAEL of 750 mg/kg/day for fetal toxicity in a rat developmental study, and the maximum intake of 1000 mg/day NRC for a pregnant woman weighing 60 kg was 45. The corresponding MOE between the NOAEL in the one-generation reproductive toxicity in rats and proposed maximum human intake was approximately 66. On the basis of the low MOEs (&lt;100) use at the maximum proposed NRC intake level in pregnant or lactating women is not supported. However, as for paediatric use, lower intakes approximating Recommended Daily Intakes of niacin, prescribed and supervised by a medical practitioner, do not represent a safety concern in pregnant or lactating women. </w:t>
      </w:r>
    </w:p>
    <w:p w14:paraId="4438593C" w14:textId="77777777" w:rsidR="00E61382" w:rsidRDefault="00E61382" w:rsidP="007364A5"/>
    <w:p w14:paraId="33D0FB84" w14:textId="08522E42" w:rsidR="001952A6" w:rsidRPr="00935F80" w:rsidRDefault="00935F80" w:rsidP="00935F80">
      <w:pPr>
        <w:rPr>
          <w:lang w:eastAsia="en-AU"/>
        </w:rPr>
      </w:pPr>
      <w:r w:rsidRPr="00935F80">
        <w:t xml:space="preserve">The NRC manufactured by the Applicant is </w:t>
      </w:r>
      <w:r w:rsidR="001952A6" w:rsidRPr="00935F80">
        <w:rPr>
          <w:lang w:eastAsia="en-AU"/>
        </w:rPr>
        <w:t>a crystalline substance, that contains greater than or equal to 90% NRC, the remaining components being residual solvents, reaction by-products and degradation products.</w:t>
      </w:r>
      <w:r w:rsidRPr="00935F80">
        <w:rPr>
          <w:lang w:eastAsia="en-AU"/>
        </w:rPr>
        <w:t xml:space="preserve"> The nicotinamide riboside moiety in the NRC is </w:t>
      </w:r>
      <w:r w:rsidR="001952A6" w:rsidRPr="00935F80">
        <w:rPr>
          <w:lang w:eastAsia="en-AU"/>
        </w:rPr>
        <w:t xml:space="preserve">predominantly the </w:t>
      </w:r>
      <w:r w:rsidR="001952A6" w:rsidRPr="00935F80">
        <w:rPr>
          <w:rFonts w:cs="Arial"/>
          <w:lang w:eastAsia="en-AU"/>
        </w:rPr>
        <w:t>β</w:t>
      </w:r>
      <w:r w:rsidR="001952A6" w:rsidRPr="00935F80">
        <w:rPr>
          <w:lang w:eastAsia="en-AU"/>
        </w:rPr>
        <w:t xml:space="preserve"> form. </w:t>
      </w:r>
      <w:r w:rsidRPr="00935F80">
        <w:rPr>
          <w:lang w:eastAsia="en-AU"/>
        </w:rPr>
        <w:t>Stability tests indicate NRC is stable for up to two years in powdered FSMP formulations. FSANZ has developed specification</w:t>
      </w:r>
      <w:r w:rsidR="00887ED1">
        <w:rPr>
          <w:lang w:eastAsia="en-AU"/>
        </w:rPr>
        <w:t>s</w:t>
      </w:r>
      <w:r w:rsidRPr="00935F80">
        <w:rPr>
          <w:lang w:eastAsia="en-AU"/>
        </w:rPr>
        <w:t xml:space="preserve"> based on information provided by the Applicant. </w:t>
      </w:r>
    </w:p>
    <w:p w14:paraId="3003E7AF" w14:textId="77777777" w:rsidR="00935F80" w:rsidRPr="00935F80" w:rsidRDefault="00935F80" w:rsidP="00935F80"/>
    <w:p w14:paraId="7014FF66" w14:textId="795623C8" w:rsidR="00E76F33" w:rsidRPr="00E76F33" w:rsidRDefault="00E76F33" w:rsidP="00E76F33">
      <w:r w:rsidRPr="00E76F33">
        <w:t xml:space="preserve">In conclusion, FSANZ considers that based on the best available evidence in laboratory animals and humans, NRC is a bioavailable form of niacin which at intakes ranging from 100 to 2000 mg/day would be expected to support normal physiological function. However none of the studies included a </w:t>
      </w:r>
      <w:r w:rsidR="00F15421">
        <w:t xml:space="preserve">comparator </w:t>
      </w:r>
      <w:r w:rsidRPr="00E76F33">
        <w:t xml:space="preserve">treatment group receiving NA or Nam, therefore it was not possible to establish bioequivalence to forms of niacin already permitted in the Code. On that basis it is not possible for FSANZ to establish with certainty whether lower NRC intakes which match adult Recommended Dietary Intakes for niacin would support essential requirements, when it is the only form of vitamin B3 in the diet. </w:t>
      </w:r>
    </w:p>
    <w:p w14:paraId="7096CE82" w14:textId="77777777" w:rsidR="00E76F33" w:rsidRPr="00E76F33" w:rsidRDefault="00E76F33" w:rsidP="00E76F33"/>
    <w:p w14:paraId="647D4524" w14:textId="0F2D07EA" w:rsidR="00E76F33" w:rsidRPr="00E76F33" w:rsidRDefault="00E76F33" w:rsidP="00E76F33">
      <w:r w:rsidRPr="00E76F33">
        <w:t xml:space="preserve">NRC is not expected to represent a safety concern when prescribed, and used under medical supervision at intakes below the UL for Nam, and </w:t>
      </w:r>
      <w:r w:rsidR="00FA58A8">
        <w:t>for</w:t>
      </w:r>
      <w:r w:rsidRPr="00E76F33">
        <w:t xml:space="preserve"> pregnant or lactating women, at levels of intake consistent with Recommended Dietary Intakes for </w:t>
      </w:r>
      <w:r w:rsidRPr="00E76F33">
        <w:lastRenderedPageBreak/>
        <w:t xml:space="preserve">niacin. </w:t>
      </w:r>
    </w:p>
    <w:p w14:paraId="50F9EC4A" w14:textId="1D27D9D5" w:rsidR="00463F16" w:rsidRDefault="00463F16" w:rsidP="00E61382">
      <w:pPr>
        <w:widowControl/>
        <w:rPr>
          <w:b/>
          <w:bCs/>
          <w:sz w:val="36"/>
          <w:szCs w:val="28"/>
          <w:lang w:bidi="ar-SA"/>
        </w:rPr>
      </w:pPr>
      <w:r>
        <w:br w:type="page"/>
      </w:r>
    </w:p>
    <w:p w14:paraId="1F8C581D" w14:textId="24952DBA" w:rsidR="00463F16" w:rsidRDefault="00463F16" w:rsidP="00CA5D21">
      <w:pPr>
        <w:pStyle w:val="Heading1"/>
        <w:numPr>
          <w:ilvl w:val="0"/>
          <w:numId w:val="4"/>
        </w:numPr>
        <w:spacing w:before="0"/>
        <w:ind w:left="567" w:hanging="567"/>
      </w:pPr>
      <w:bookmarkStart w:id="800" w:name="_Toc66443263"/>
      <w:bookmarkStart w:id="801" w:name="_Toc66436819"/>
      <w:bookmarkStart w:id="802" w:name="_Toc65509096"/>
      <w:bookmarkStart w:id="803" w:name="_Toc65578833"/>
      <w:bookmarkStart w:id="804" w:name="_Toc65587227"/>
      <w:bookmarkStart w:id="805" w:name="_Toc65587243"/>
      <w:bookmarkStart w:id="806" w:name="_Toc65682807"/>
      <w:bookmarkStart w:id="807" w:name="_Toc65764348"/>
      <w:bookmarkStart w:id="808" w:name="_Toc65764681"/>
      <w:bookmarkStart w:id="809" w:name="_Toc65841250"/>
      <w:bookmarkStart w:id="810" w:name="_Toc66458171"/>
      <w:bookmarkStart w:id="811" w:name="_Toc66451445"/>
      <w:bookmarkStart w:id="812" w:name="_Toc66458838"/>
      <w:bookmarkStart w:id="813" w:name="_Toc66458971"/>
      <w:bookmarkStart w:id="814" w:name="_Toc66461666"/>
      <w:bookmarkStart w:id="815" w:name="_Toc69899775"/>
      <w:r>
        <w:lastRenderedPageBreak/>
        <w:t>References</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71F89D1E" w14:textId="5B55B671" w:rsidR="00463F16" w:rsidRDefault="00463F16" w:rsidP="0029778E">
      <w:pPr>
        <w:rPr>
          <w:lang w:bidi="ar-SA"/>
        </w:rPr>
      </w:pPr>
    </w:p>
    <w:p w14:paraId="004FB230" w14:textId="77777777" w:rsidR="00336FAA" w:rsidRDefault="00336FAA" w:rsidP="00336FAA">
      <w:pPr>
        <w:pStyle w:val="CitaviBibliography"/>
        <w:ind w:left="0" w:firstLine="0"/>
        <w:rPr>
          <w:rFonts w:ascii="Arial" w:hAnsi="Arial" w:cs="Arial"/>
          <w:sz w:val="22"/>
          <w:szCs w:val="22"/>
        </w:rPr>
      </w:pPr>
      <w:r>
        <w:rPr>
          <w:rFonts w:ascii="Arial" w:hAnsi="Arial" w:cs="Arial"/>
          <w:sz w:val="22"/>
          <w:szCs w:val="22"/>
        </w:rPr>
        <w:t xml:space="preserve">ABS (2014a) </w:t>
      </w:r>
      <w:r w:rsidRPr="0062740C">
        <w:rPr>
          <w:rFonts w:ascii="Arial" w:hAnsi="Arial" w:cs="Arial"/>
          <w:sz w:val="22"/>
          <w:szCs w:val="22"/>
        </w:rPr>
        <w:t xml:space="preserve">Australian Health Survey: Nutrition First Results </w:t>
      </w:r>
      <w:r>
        <w:rPr>
          <w:rFonts w:ascii="Arial" w:hAnsi="Arial" w:cs="Arial"/>
          <w:sz w:val="22"/>
          <w:szCs w:val="22"/>
        </w:rPr>
        <w:t>–</w:t>
      </w:r>
      <w:r w:rsidRPr="0062740C">
        <w:rPr>
          <w:rFonts w:ascii="Arial" w:hAnsi="Arial" w:cs="Arial"/>
          <w:sz w:val="22"/>
          <w:szCs w:val="22"/>
        </w:rPr>
        <w:t xml:space="preserve"> Foods and Nutrients, 2011-12 (Catalogue number 4364.0.55.007)</w:t>
      </w:r>
    </w:p>
    <w:p w14:paraId="0C739908" w14:textId="77777777" w:rsidR="00336FAA" w:rsidRDefault="00336FAA" w:rsidP="00336FAA">
      <w:pPr>
        <w:pStyle w:val="CitaviBibliography"/>
        <w:ind w:left="0" w:firstLine="0"/>
        <w:rPr>
          <w:rFonts w:ascii="Arial" w:hAnsi="Arial" w:cs="Arial"/>
          <w:sz w:val="22"/>
          <w:szCs w:val="22"/>
        </w:rPr>
      </w:pPr>
    </w:p>
    <w:p w14:paraId="49C28739" w14:textId="77777777" w:rsidR="00336FAA" w:rsidRPr="0062740C" w:rsidRDefault="00336FAA" w:rsidP="00336FAA">
      <w:pPr>
        <w:pStyle w:val="CitaviBibliography"/>
        <w:ind w:left="0" w:firstLine="0"/>
        <w:rPr>
          <w:rFonts w:ascii="Arial" w:hAnsi="Arial" w:cs="Arial"/>
          <w:sz w:val="22"/>
          <w:szCs w:val="22"/>
        </w:rPr>
      </w:pPr>
      <w:r w:rsidRPr="0062740C">
        <w:rPr>
          <w:rFonts w:ascii="Arial" w:hAnsi="Arial" w:cs="Arial"/>
          <w:sz w:val="22"/>
          <w:szCs w:val="22"/>
        </w:rPr>
        <w:t>ABS (2014</w:t>
      </w:r>
      <w:r>
        <w:rPr>
          <w:rFonts w:ascii="Arial" w:hAnsi="Arial" w:cs="Arial"/>
          <w:sz w:val="22"/>
          <w:szCs w:val="22"/>
        </w:rPr>
        <w:t>b</w:t>
      </w:r>
      <w:r w:rsidRPr="0062740C">
        <w:rPr>
          <w:rFonts w:ascii="Arial" w:hAnsi="Arial" w:cs="Arial"/>
          <w:sz w:val="22"/>
          <w:szCs w:val="22"/>
        </w:rPr>
        <w:t>) National Nutrition and Physical Activity Survey, 2011</w:t>
      </w:r>
      <w:r w:rsidRPr="0062740C">
        <w:rPr>
          <w:rFonts w:ascii="Arial" w:hAnsi="Arial" w:cs="Arial" w:hint="eastAsia"/>
          <w:sz w:val="22"/>
          <w:szCs w:val="22"/>
        </w:rPr>
        <w:t>–</w:t>
      </w:r>
      <w:r w:rsidRPr="0062740C">
        <w:rPr>
          <w:rFonts w:ascii="Arial" w:hAnsi="Arial" w:cs="Arial"/>
          <w:sz w:val="22"/>
          <w:szCs w:val="22"/>
        </w:rPr>
        <w:t>12, Basic CURF.</w:t>
      </w:r>
    </w:p>
    <w:p w14:paraId="46CA6A37" w14:textId="4797C7FB" w:rsidR="00336FAA" w:rsidRPr="0062740C" w:rsidRDefault="00336FAA" w:rsidP="00336FAA">
      <w:pPr>
        <w:pStyle w:val="CitaviBibliography"/>
        <w:ind w:left="0" w:firstLine="0"/>
        <w:rPr>
          <w:rFonts w:ascii="Arial" w:hAnsi="Arial" w:cs="Arial"/>
          <w:sz w:val="22"/>
          <w:szCs w:val="22"/>
        </w:rPr>
      </w:pPr>
      <w:r w:rsidRPr="0062740C">
        <w:rPr>
          <w:rFonts w:ascii="Arial" w:hAnsi="Arial" w:cs="Arial"/>
          <w:sz w:val="22"/>
          <w:szCs w:val="22"/>
        </w:rPr>
        <w:t xml:space="preserve">Australian Government, Canberra. </w:t>
      </w:r>
    </w:p>
    <w:p w14:paraId="5E59ACB3" w14:textId="77777777" w:rsidR="00336FAA" w:rsidRPr="0062740C" w:rsidRDefault="005E5572" w:rsidP="00336FAA">
      <w:pPr>
        <w:pStyle w:val="CitaviBibliography"/>
        <w:ind w:left="0" w:firstLine="0"/>
        <w:rPr>
          <w:rFonts w:ascii="Arial" w:hAnsi="Arial" w:cs="Arial"/>
          <w:sz w:val="22"/>
          <w:szCs w:val="22"/>
        </w:rPr>
      </w:pPr>
      <w:hyperlink r:id="rId27" w:history="1">
        <w:r w:rsidR="00336FAA" w:rsidRPr="00F63CA8">
          <w:rPr>
            <w:rStyle w:val="Hyperlink"/>
            <w:rFonts w:cs="Arial"/>
            <w:sz w:val="22"/>
            <w:szCs w:val="22"/>
          </w:rPr>
          <w:t>http://www.abs.gov.au/AUSSTATS/abs@.nsf/Latestproducts/4324.0.55.002Main%20Features652011-12?opendocument&amp;tabname=Summary&amp;prodno=4324.0.55.002&amp;issue=2011-12&amp;num=&amp;view</w:t>
        </w:r>
      </w:hyperlink>
      <w:r w:rsidR="00336FAA" w:rsidRPr="0062740C">
        <w:rPr>
          <w:rFonts w:ascii="Arial" w:hAnsi="Arial" w:cs="Arial"/>
          <w:sz w:val="22"/>
          <w:szCs w:val="22"/>
        </w:rPr>
        <w:t>=</w:t>
      </w:r>
      <w:r w:rsidR="00336FAA">
        <w:rPr>
          <w:rFonts w:ascii="Arial" w:hAnsi="Arial" w:cs="Arial"/>
          <w:sz w:val="22"/>
          <w:szCs w:val="22"/>
        </w:rPr>
        <w:t xml:space="preserve"> </w:t>
      </w:r>
    </w:p>
    <w:p w14:paraId="31433E5F" w14:textId="77777777" w:rsidR="00336FAA" w:rsidRPr="0062740C" w:rsidRDefault="00336FAA" w:rsidP="00336FAA">
      <w:pPr>
        <w:pStyle w:val="CitaviBibliography"/>
        <w:ind w:left="0" w:firstLine="0"/>
        <w:rPr>
          <w:rFonts w:ascii="Arial" w:hAnsi="Arial" w:cs="Arial"/>
          <w:sz w:val="22"/>
          <w:szCs w:val="22"/>
        </w:rPr>
      </w:pPr>
    </w:p>
    <w:p w14:paraId="471EFE87" w14:textId="43162585" w:rsidR="008E3B90" w:rsidRDefault="008E3B90" w:rsidP="00506F36">
      <w:pPr>
        <w:widowControl/>
      </w:pPr>
      <w:r>
        <w:t xml:space="preserve">Airhart </w:t>
      </w:r>
      <w:r w:rsidR="00032381">
        <w:t xml:space="preserve">SE, </w:t>
      </w:r>
      <w:r w:rsidR="00506F36">
        <w:t>Shireman LM, Risler LJ, Anderson GD, Gowda GAN, Raftery D, Tian R, Shen DD and O’Brien KD</w:t>
      </w:r>
      <w:r>
        <w:t xml:space="preserve"> (2017)</w:t>
      </w:r>
      <w:r w:rsidR="002660B7">
        <w:t>.</w:t>
      </w:r>
      <w:r w:rsidR="00506F36" w:rsidRPr="00506F36">
        <w:t xml:space="preserve"> An open-label, non-randomized study of the pharmacokinetics of the nutritional supplement nicotinamide riboside (NR) and its effects on blood NAD+ levels in healthy volunteers</w:t>
      </w:r>
      <w:r w:rsidR="00506F36">
        <w:t xml:space="preserve">. PLOS One 12(12): e0186459. </w:t>
      </w:r>
      <w:hyperlink r:id="rId28" w:history="1">
        <w:r w:rsidR="00E143DC" w:rsidRPr="000051CB">
          <w:rPr>
            <w:rStyle w:val="Hyperlink"/>
          </w:rPr>
          <w:t>https://journals.plos.org/plosone/article?id=10.1371/journal.pone.0186459</w:t>
        </w:r>
      </w:hyperlink>
      <w:r w:rsidR="00E143DC">
        <w:t xml:space="preserve"> </w:t>
      </w:r>
    </w:p>
    <w:p w14:paraId="00013661" w14:textId="2FE189A9" w:rsidR="003B76FF" w:rsidRDefault="003B76FF" w:rsidP="00506F36">
      <w:pPr>
        <w:widowControl/>
      </w:pPr>
    </w:p>
    <w:p w14:paraId="22F626E2" w14:textId="77777777" w:rsidR="003B76FF" w:rsidRDefault="003B76FF" w:rsidP="003B76FF">
      <w:pPr>
        <w:rPr>
          <w:lang w:val="en-AU"/>
        </w:rPr>
      </w:pPr>
      <w:r w:rsidRPr="00BB3688">
        <w:rPr>
          <w:lang w:val="en-AU"/>
        </w:rPr>
        <w:t xml:space="preserve">Bechgaard H and Jespersen S (1977) GI absorption of niacin in humans. </w:t>
      </w:r>
      <w:r w:rsidRPr="00BB3688">
        <w:rPr>
          <w:iCs/>
          <w:lang w:val="en-AU"/>
        </w:rPr>
        <w:t>Journal of Pharmaceutical Sciences</w:t>
      </w:r>
      <w:r w:rsidRPr="00BB3688">
        <w:rPr>
          <w:lang w:val="en-AU"/>
        </w:rPr>
        <w:t xml:space="preserve"> </w:t>
      </w:r>
      <w:r w:rsidRPr="00BB3688">
        <w:rPr>
          <w:iCs/>
          <w:lang w:val="en-AU"/>
        </w:rPr>
        <w:t>66</w:t>
      </w:r>
      <w:r w:rsidRPr="00BB3688">
        <w:rPr>
          <w:lang w:val="en-AU"/>
        </w:rPr>
        <w:t>(6):871-872.</w:t>
      </w:r>
    </w:p>
    <w:p w14:paraId="583E6891" w14:textId="77777777" w:rsidR="003B76FF" w:rsidRDefault="003B76FF" w:rsidP="003B76FF">
      <w:pPr>
        <w:rPr>
          <w:lang w:val="en-AU"/>
        </w:rPr>
      </w:pPr>
    </w:p>
    <w:p w14:paraId="6D3E72EA" w14:textId="74209670" w:rsidR="003B76FF" w:rsidRPr="00BB3688" w:rsidRDefault="003B76FF" w:rsidP="003B76FF">
      <w:pPr>
        <w:rPr>
          <w:lang w:val="en-AU"/>
        </w:rPr>
      </w:pPr>
      <w:r>
        <w:rPr>
          <w:color w:val="222222"/>
        </w:rPr>
        <w:t>Belenky P, Racette FG, Bogan KL, McClure JM, Smith JS,</w:t>
      </w:r>
      <w:r w:rsidR="00FE62E9">
        <w:rPr>
          <w:color w:val="222222"/>
        </w:rPr>
        <w:t xml:space="preserve"> and</w:t>
      </w:r>
      <w:r>
        <w:rPr>
          <w:color w:val="222222"/>
        </w:rPr>
        <w:t xml:space="preserve"> Brenner C (2007) Nicotinamide riboside promotes Sir2 silencing and extends lifespan via Nrk and Urh1/Pnp1/Meu1 pathways to NAD</w:t>
      </w:r>
      <w:r w:rsidRPr="008E35ED">
        <w:rPr>
          <w:color w:val="222222"/>
          <w:vertAlign w:val="superscript"/>
        </w:rPr>
        <w:t>+</w:t>
      </w:r>
      <w:r>
        <w:rPr>
          <w:color w:val="222222"/>
        </w:rPr>
        <w:t>. Cell 4;129(3):473-84.</w:t>
      </w:r>
    </w:p>
    <w:p w14:paraId="0FCB7EF6" w14:textId="77777777" w:rsidR="003B76FF" w:rsidRPr="00BB3688" w:rsidRDefault="003B76FF" w:rsidP="003B76FF">
      <w:pPr>
        <w:rPr>
          <w:lang w:val="en-AU"/>
        </w:rPr>
      </w:pPr>
    </w:p>
    <w:p w14:paraId="0CD251E7" w14:textId="70CD50EF" w:rsidR="003B76FF" w:rsidRPr="00BB3688" w:rsidRDefault="003B76FF" w:rsidP="003B76FF">
      <w:pPr>
        <w:rPr>
          <w:rFonts w:cs="Calibri"/>
          <w:lang w:val="en-AU"/>
        </w:rPr>
      </w:pPr>
      <w:r w:rsidRPr="00BB3688">
        <w:t xml:space="preserve">Bender DA (2003) </w:t>
      </w:r>
      <w:r w:rsidRPr="00BB3688">
        <w:rPr>
          <w:iCs/>
        </w:rPr>
        <w:t>Nutritional biochemistry of the vitamins</w:t>
      </w:r>
      <w:r w:rsidRPr="00BB3688">
        <w:t xml:space="preserve">. Cambridge </w:t>
      </w:r>
      <w:r w:rsidR="002660B7">
        <w:t>University</w:t>
      </w:r>
      <w:r w:rsidR="00FE62E9">
        <w:t xml:space="preserve"> </w:t>
      </w:r>
      <w:r w:rsidR="002660B7">
        <w:t>P</w:t>
      </w:r>
      <w:r w:rsidRPr="00BB3688">
        <w:t>ress.</w:t>
      </w:r>
    </w:p>
    <w:p w14:paraId="7B9CB6AC" w14:textId="527556C8" w:rsidR="003B76FF" w:rsidRPr="00BB3688" w:rsidRDefault="003B76FF" w:rsidP="003B76FF">
      <w:pPr>
        <w:rPr>
          <w:b/>
        </w:rPr>
      </w:pPr>
    </w:p>
    <w:p w14:paraId="1B0559B6" w14:textId="08E98706" w:rsidR="005D3790" w:rsidRPr="005D3790" w:rsidRDefault="005D3790" w:rsidP="005D3790">
      <w:pPr>
        <w:tabs>
          <w:tab w:val="left" w:pos="1440"/>
        </w:tabs>
        <w:rPr>
          <w:rFonts w:eastAsia="Calibri"/>
          <w:szCs w:val="22"/>
          <w:lang w:bidi="ar-SA"/>
        </w:rPr>
      </w:pPr>
      <w:r w:rsidRPr="005D3790">
        <w:rPr>
          <w:rFonts w:eastAsia="Calibri"/>
          <w:color w:val="222222"/>
          <w:szCs w:val="22"/>
          <w:lang w:bidi="ar-SA"/>
        </w:rPr>
        <w:t>Benyó Z, Gille A, Kero J, Csiky M, Suchánková MC, Nüsing RM, Moers A, Pfeffer K</w:t>
      </w:r>
      <w:r w:rsidR="00FE62E9">
        <w:rPr>
          <w:rFonts w:eastAsia="Calibri"/>
          <w:color w:val="222222"/>
          <w:szCs w:val="22"/>
          <w:lang w:bidi="ar-SA"/>
        </w:rPr>
        <w:t xml:space="preserve"> and</w:t>
      </w:r>
      <w:r w:rsidRPr="005D3790">
        <w:rPr>
          <w:rFonts w:eastAsia="Calibri"/>
          <w:color w:val="222222"/>
          <w:szCs w:val="22"/>
          <w:lang w:bidi="ar-SA"/>
        </w:rPr>
        <w:t xml:space="preserve"> Offermanns S</w:t>
      </w:r>
      <w:r>
        <w:rPr>
          <w:rFonts w:eastAsia="Calibri"/>
          <w:color w:val="222222"/>
          <w:szCs w:val="22"/>
          <w:lang w:bidi="ar-SA"/>
        </w:rPr>
        <w:t xml:space="preserve"> (2005)</w:t>
      </w:r>
      <w:r w:rsidRPr="005D3790">
        <w:rPr>
          <w:rFonts w:eastAsia="Calibri"/>
          <w:color w:val="222222"/>
          <w:szCs w:val="22"/>
          <w:lang w:bidi="ar-SA"/>
        </w:rPr>
        <w:t xml:space="preserve">. GPR109A (PUMA-G/HM74A) mediates nicotinic acid–induced flushing. The Journal of </w:t>
      </w:r>
      <w:r>
        <w:rPr>
          <w:rFonts w:eastAsia="Calibri"/>
          <w:color w:val="222222"/>
          <w:szCs w:val="22"/>
          <w:lang w:bidi="ar-SA"/>
        </w:rPr>
        <w:t>C</w:t>
      </w:r>
      <w:r w:rsidRPr="005D3790">
        <w:rPr>
          <w:rFonts w:eastAsia="Calibri"/>
          <w:color w:val="222222"/>
          <w:szCs w:val="22"/>
          <w:lang w:bidi="ar-SA"/>
        </w:rPr>
        <w:t xml:space="preserve">linical </w:t>
      </w:r>
      <w:r>
        <w:rPr>
          <w:rFonts w:eastAsia="Calibri"/>
          <w:color w:val="222222"/>
          <w:szCs w:val="22"/>
          <w:lang w:bidi="ar-SA"/>
        </w:rPr>
        <w:t>I</w:t>
      </w:r>
      <w:r w:rsidRPr="005D3790">
        <w:rPr>
          <w:rFonts w:eastAsia="Calibri"/>
          <w:color w:val="222222"/>
          <w:szCs w:val="22"/>
          <w:lang w:bidi="ar-SA"/>
        </w:rPr>
        <w:t>nvestigation. 1;115(12):</w:t>
      </w:r>
      <w:r>
        <w:rPr>
          <w:rFonts w:eastAsia="Calibri"/>
          <w:color w:val="222222"/>
          <w:szCs w:val="22"/>
          <w:lang w:bidi="ar-SA"/>
        </w:rPr>
        <w:t xml:space="preserve"> </w:t>
      </w:r>
      <w:r w:rsidRPr="005D3790">
        <w:rPr>
          <w:rFonts w:eastAsia="Calibri"/>
          <w:color w:val="222222"/>
          <w:szCs w:val="22"/>
          <w:lang w:bidi="ar-SA"/>
        </w:rPr>
        <w:t>3634-40.</w:t>
      </w:r>
    </w:p>
    <w:p w14:paraId="374F5929" w14:textId="77777777" w:rsidR="005D3790" w:rsidRPr="005D3790" w:rsidRDefault="005D3790" w:rsidP="005D3790">
      <w:pPr>
        <w:widowControl/>
        <w:rPr>
          <w:rFonts w:eastAsia="Calibri"/>
          <w:color w:val="222222"/>
          <w:szCs w:val="22"/>
          <w:lang w:bidi="ar-SA"/>
        </w:rPr>
      </w:pPr>
    </w:p>
    <w:p w14:paraId="7A1C3CA7" w14:textId="48F8248C" w:rsidR="005D3790" w:rsidRPr="005D3790" w:rsidRDefault="005D3790" w:rsidP="005D3790">
      <w:pPr>
        <w:widowControl/>
        <w:rPr>
          <w:rFonts w:eastAsia="Calibri"/>
          <w:color w:val="222222"/>
          <w:szCs w:val="22"/>
          <w:lang w:bidi="ar-SA"/>
        </w:rPr>
      </w:pPr>
      <w:r w:rsidRPr="005D3790">
        <w:rPr>
          <w:rFonts w:eastAsia="Calibri"/>
          <w:color w:val="222222"/>
          <w:szCs w:val="22"/>
          <w:lang w:bidi="ar-SA"/>
        </w:rPr>
        <w:t>Benyó Z, Gille A, Bennett CL, Clausen BE</w:t>
      </w:r>
      <w:r w:rsidR="00FE62E9">
        <w:rPr>
          <w:rFonts w:eastAsia="Calibri"/>
          <w:color w:val="222222"/>
          <w:szCs w:val="22"/>
          <w:lang w:bidi="ar-SA"/>
        </w:rPr>
        <w:t xml:space="preserve"> and</w:t>
      </w:r>
      <w:r w:rsidRPr="005D3790">
        <w:rPr>
          <w:rFonts w:eastAsia="Calibri"/>
          <w:color w:val="222222"/>
          <w:szCs w:val="22"/>
          <w:lang w:bidi="ar-SA"/>
        </w:rPr>
        <w:t xml:space="preserve"> Offermanns S</w:t>
      </w:r>
      <w:r>
        <w:rPr>
          <w:rFonts w:eastAsia="Calibri"/>
          <w:color w:val="222222"/>
          <w:szCs w:val="22"/>
          <w:lang w:bidi="ar-SA"/>
        </w:rPr>
        <w:t xml:space="preserve"> </w:t>
      </w:r>
      <w:r w:rsidR="00210C6C">
        <w:rPr>
          <w:rFonts w:eastAsia="Calibri"/>
          <w:color w:val="222222"/>
          <w:szCs w:val="22"/>
          <w:lang w:bidi="ar-SA"/>
        </w:rPr>
        <w:t>(</w:t>
      </w:r>
      <w:r>
        <w:rPr>
          <w:rFonts w:eastAsia="Calibri"/>
          <w:color w:val="222222"/>
          <w:szCs w:val="22"/>
          <w:lang w:bidi="ar-SA"/>
        </w:rPr>
        <w:t>2006)</w:t>
      </w:r>
      <w:r w:rsidRPr="005D3790">
        <w:rPr>
          <w:rFonts w:eastAsia="Calibri"/>
          <w:color w:val="222222"/>
          <w:szCs w:val="22"/>
          <w:lang w:bidi="ar-SA"/>
        </w:rPr>
        <w:t>. Nicotinic acid-induced flushing is media</w:t>
      </w:r>
      <w:r>
        <w:rPr>
          <w:rFonts w:eastAsia="Calibri"/>
          <w:color w:val="222222"/>
          <w:szCs w:val="22"/>
          <w:lang w:bidi="ar-SA"/>
        </w:rPr>
        <w:t xml:space="preserve">ted by activation of epidermal Langerhans cells. Molecular Pharmacology  </w:t>
      </w:r>
      <w:r w:rsidRPr="005D3790">
        <w:rPr>
          <w:rFonts w:eastAsia="Calibri"/>
          <w:color w:val="222222"/>
          <w:szCs w:val="22"/>
          <w:lang w:bidi="ar-SA"/>
        </w:rPr>
        <w:t>70(6):</w:t>
      </w:r>
      <w:r>
        <w:rPr>
          <w:rFonts w:eastAsia="Calibri"/>
          <w:color w:val="222222"/>
          <w:szCs w:val="22"/>
          <w:lang w:bidi="ar-SA"/>
        </w:rPr>
        <w:t xml:space="preserve"> </w:t>
      </w:r>
      <w:r w:rsidRPr="005D3790">
        <w:rPr>
          <w:rFonts w:eastAsia="Calibri"/>
          <w:color w:val="222222"/>
          <w:szCs w:val="22"/>
          <w:lang w:bidi="ar-SA"/>
        </w:rPr>
        <w:t>1844-9.</w:t>
      </w:r>
    </w:p>
    <w:p w14:paraId="7A8F1117" w14:textId="77777777" w:rsidR="004D0322" w:rsidRPr="00BB3688" w:rsidRDefault="004D0322" w:rsidP="003B76FF">
      <w:pPr>
        <w:rPr>
          <w:b/>
        </w:rPr>
      </w:pPr>
    </w:p>
    <w:p w14:paraId="4618E7AF" w14:textId="77777777" w:rsidR="003B76FF" w:rsidRPr="00BB3688" w:rsidRDefault="003B76FF" w:rsidP="003B76FF">
      <w:pPr>
        <w:rPr>
          <w:rFonts w:cs="Arial"/>
        </w:rPr>
      </w:pPr>
      <w:r w:rsidRPr="00BB3688">
        <w:rPr>
          <w:rFonts w:cs="Arial"/>
        </w:rPr>
        <w:t>Bieganowski P and Brenner C (2004) Discoveries of nicotinamide riboside as a nutrient and conserved NRK genes establish a Preiss-Handler independent route to NAD</w:t>
      </w:r>
      <w:r w:rsidRPr="00BB3688">
        <w:rPr>
          <w:rFonts w:cs="Arial"/>
          <w:vertAlign w:val="superscript"/>
        </w:rPr>
        <w:t>+</w:t>
      </w:r>
      <w:r w:rsidRPr="00BB3688">
        <w:rPr>
          <w:rFonts w:cs="Arial"/>
        </w:rPr>
        <w:t xml:space="preserve"> in fungi and </w:t>
      </w:r>
      <w:r>
        <w:rPr>
          <w:rFonts w:cs="Arial"/>
        </w:rPr>
        <w:t>humans</w:t>
      </w:r>
      <w:r w:rsidRPr="00BB3688">
        <w:rPr>
          <w:rFonts w:cs="Arial"/>
        </w:rPr>
        <w:t xml:space="preserve">. </w:t>
      </w:r>
      <w:r w:rsidRPr="00BB3688">
        <w:rPr>
          <w:rFonts w:cs="Arial"/>
          <w:iCs/>
        </w:rPr>
        <w:t>Cell</w:t>
      </w:r>
      <w:r w:rsidRPr="00BB3688">
        <w:rPr>
          <w:rFonts w:cs="Arial"/>
        </w:rPr>
        <w:t xml:space="preserve"> </w:t>
      </w:r>
      <w:r w:rsidRPr="00BB3688">
        <w:rPr>
          <w:rFonts w:cs="Arial"/>
          <w:iCs/>
        </w:rPr>
        <w:t>117</w:t>
      </w:r>
      <w:r w:rsidRPr="00BB3688">
        <w:rPr>
          <w:rFonts w:cs="Arial"/>
        </w:rPr>
        <w:t xml:space="preserve">(4):495-502. </w:t>
      </w:r>
    </w:p>
    <w:p w14:paraId="7A6AF168" w14:textId="77777777" w:rsidR="003B76FF" w:rsidRDefault="003B76FF" w:rsidP="00506F36">
      <w:pPr>
        <w:widowControl/>
      </w:pPr>
    </w:p>
    <w:p w14:paraId="77D911DD" w14:textId="5F2BCBE2" w:rsidR="00E82C1E" w:rsidRDefault="00E82C1E" w:rsidP="00093F3A">
      <w:pPr>
        <w:widowControl/>
      </w:pPr>
      <w:r>
        <w:t>Bogan KL  and Brenner C (2008). Nicotinic acid, nicotinamide, and nicotinamide riboside: A molecular evaluation of NAD</w:t>
      </w:r>
      <w:r>
        <w:rPr>
          <w:vertAlign w:val="superscript"/>
        </w:rPr>
        <w:t>+</w:t>
      </w:r>
      <w:r w:rsidR="004C675F">
        <w:rPr>
          <w:vertAlign w:val="superscript"/>
        </w:rPr>
        <w:t xml:space="preserve"> </w:t>
      </w:r>
      <w:r w:rsidR="009B7070">
        <w:t>precursor vitamins in human nutrition. Annual Review of Nutrition 28: 115-30</w:t>
      </w:r>
    </w:p>
    <w:p w14:paraId="5194DA19" w14:textId="441A8362" w:rsidR="003B76FF" w:rsidRDefault="003B76FF" w:rsidP="00093F3A">
      <w:pPr>
        <w:widowControl/>
      </w:pPr>
    </w:p>
    <w:p w14:paraId="62385646" w14:textId="77777777" w:rsidR="003B76FF" w:rsidRPr="00BB3688" w:rsidRDefault="003B76FF" w:rsidP="003B76FF">
      <w:pPr>
        <w:rPr>
          <w:rFonts w:cs="Arial"/>
        </w:rPr>
      </w:pPr>
      <w:r w:rsidRPr="00BB3688">
        <w:rPr>
          <w:rFonts w:cs="Arial"/>
        </w:rPr>
        <w:t xml:space="preserve">Carpenter KJ (1981) Pellagra. Stroudsburg. </w:t>
      </w:r>
      <w:r w:rsidRPr="00BB3688">
        <w:rPr>
          <w:rFonts w:cs="Arial"/>
          <w:iCs/>
        </w:rPr>
        <w:t>PA: Hutchinson Ross</w:t>
      </w:r>
      <w:r w:rsidRPr="00BB3688">
        <w:rPr>
          <w:rFonts w:cs="Arial"/>
        </w:rPr>
        <w:t xml:space="preserve">, </w:t>
      </w:r>
      <w:r w:rsidRPr="00BB3688">
        <w:rPr>
          <w:rFonts w:cs="Arial"/>
          <w:iCs/>
        </w:rPr>
        <w:t>391</w:t>
      </w:r>
      <w:r w:rsidRPr="00BB3688">
        <w:rPr>
          <w:rFonts w:cs="Arial"/>
        </w:rPr>
        <w:t>.</w:t>
      </w:r>
    </w:p>
    <w:p w14:paraId="2652B185" w14:textId="77777777" w:rsidR="003B76FF" w:rsidRPr="00BB3688" w:rsidRDefault="003B76FF" w:rsidP="003B76FF">
      <w:pPr>
        <w:rPr>
          <w:rFonts w:cs="Arial"/>
        </w:rPr>
      </w:pPr>
    </w:p>
    <w:p w14:paraId="4D70F8FB" w14:textId="37FC61B3" w:rsidR="003B76FF" w:rsidRPr="00BB3688" w:rsidRDefault="003B76FF" w:rsidP="003B76FF">
      <w:r w:rsidRPr="00BB3688">
        <w:t xml:space="preserve">Carpenter KJ and Lewin WJ (1985) A reexamination of the composition of diets associated with pellagra. </w:t>
      </w:r>
      <w:r w:rsidRPr="00BB3688">
        <w:rPr>
          <w:iCs/>
        </w:rPr>
        <w:t xml:space="preserve">The Journal of </w:t>
      </w:r>
      <w:r w:rsidR="002660B7">
        <w:rPr>
          <w:iCs/>
        </w:rPr>
        <w:t>N</w:t>
      </w:r>
      <w:r w:rsidRPr="00BB3688">
        <w:rPr>
          <w:iCs/>
        </w:rPr>
        <w:t>utrition</w:t>
      </w:r>
      <w:r w:rsidRPr="00BB3688">
        <w:t xml:space="preserve"> </w:t>
      </w:r>
      <w:r w:rsidRPr="00BB3688">
        <w:rPr>
          <w:iCs/>
        </w:rPr>
        <w:t>115</w:t>
      </w:r>
      <w:r w:rsidRPr="00BB3688">
        <w:t>(5):543-552.</w:t>
      </w:r>
    </w:p>
    <w:p w14:paraId="020CA1D5" w14:textId="77777777" w:rsidR="003B76FF" w:rsidRPr="00BB3688" w:rsidRDefault="003B76FF" w:rsidP="003B76FF"/>
    <w:p w14:paraId="39A92A64" w14:textId="77777777" w:rsidR="003B76FF" w:rsidRDefault="003B76FF" w:rsidP="003B76FF">
      <w:r w:rsidRPr="00BB3688">
        <w:t xml:space="preserve">Carter EG and Carpenter KJ (1982) The bioavailability for humans of bound niacin from wheat bran. </w:t>
      </w:r>
      <w:r w:rsidRPr="00BB3688">
        <w:rPr>
          <w:iCs/>
        </w:rPr>
        <w:t>The American Journal of Clinical Nutrition</w:t>
      </w:r>
      <w:r w:rsidRPr="00BB3688">
        <w:t xml:space="preserve"> </w:t>
      </w:r>
      <w:r w:rsidRPr="00BB3688">
        <w:rPr>
          <w:iCs/>
        </w:rPr>
        <w:t>36</w:t>
      </w:r>
      <w:r w:rsidRPr="00BB3688">
        <w:t>(5):855-861.</w:t>
      </w:r>
    </w:p>
    <w:p w14:paraId="482F2157" w14:textId="77777777" w:rsidR="003B76FF" w:rsidRPr="00E82C1E" w:rsidRDefault="003B76FF" w:rsidP="00093F3A">
      <w:pPr>
        <w:widowControl/>
      </w:pPr>
    </w:p>
    <w:p w14:paraId="0EF24A58" w14:textId="649C3AFA" w:rsidR="00BD6DED" w:rsidRDefault="00BD6DED" w:rsidP="00093F3A">
      <w:pPr>
        <w:widowControl/>
      </w:pPr>
      <w:r>
        <w:t xml:space="preserve">Chi Y and Sauve AA (2013). Nicotinamide riboside, a trace element in foods, is a vitamin B3 with effects on energy metabolism and neuroprotection. </w:t>
      </w:r>
      <w:r w:rsidR="006A1920">
        <w:t>Current Opinion in Clinical Nutrition and Metabolic Care 16(6): 657-661</w:t>
      </w:r>
    </w:p>
    <w:p w14:paraId="29E26846" w14:textId="77777777" w:rsidR="00BD6DED" w:rsidRDefault="00BD6DED" w:rsidP="00093F3A">
      <w:pPr>
        <w:widowControl/>
      </w:pPr>
    </w:p>
    <w:p w14:paraId="01EFF8D5" w14:textId="0C6F6E2D" w:rsidR="00093F3A" w:rsidRDefault="00093F3A" w:rsidP="00093F3A">
      <w:pPr>
        <w:widowControl/>
      </w:pPr>
      <w:r>
        <w:t xml:space="preserve">Conze DB, Crespo-Barreto J and Kruger CL (2016) </w:t>
      </w:r>
      <w:r w:rsidRPr="00093F3A">
        <w:t>Safety assessment of nicotinamide riboside, a form of vitamin B</w:t>
      </w:r>
      <w:r w:rsidRPr="00093F3A">
        <w:rPr>
          <w:vertAlign w:val="subscript"/>
        </w:rPr>
        <w:t>3</w:t>
      </w:r>
      <w:r>
        <w:t xml:space="preserve">. Human and Experimental Toxicology 35(11):1149-1160. </w:t>
      </w:r>
    </w:p>
    <w:p w14:paraId="28AFF53C" w14:textId="7851DFCC" w:rsidR="00093F3A" w:rsidRPr="00093F3A" w:rsidRDefault="00093F3A" w:rsidP="00093F3A">
      <w:pPr>
        <w:widowControl/>
      </w:pPr>
      <w:r>
        <w:t xml:space="preserve"> </w:t>
      </w:r>
      <w:hyperlink r:id="rId29" w:history="1">
        <w:r w:rsidR="00E143DC" w:rsidRPr="000051CB">
          <w:rPr>
            <w:rStyle w:val="Hyperlink"/>
          </w:rPr>
          <w:t>https://journals.sagepub.com/doi/10.1177/0960327115626254</w:t>
        </w:r>
      </w:hyperlink>
      <w:r w:rsidR="00E143DC">
        <w:t xml:space="preserve"> </w:t>
      </w:r>
    </w:p>
    <w:p w14:paraId="7D8153E4" w14:textId="77777777" w:rsidR="00093F3A" w:rsidRDefault="00093F3A" w:rsidP="00C643FC">
      <w:pPr>
        <w:widowControl/>
      </w:pPr>
    </w:p>
    <w:p w14:paraId="194D7336" w14:textId="20FF4EDE" w:rsidR="00C643FC" w:rsidRDefault="008E3B90" w:rsidP="00C643FC">
      <w:pPr>
        <w:widowControl/>
      </w:pPr>
      <w:r>
        <w:t xml:space="preserve">Conze </w:t>
      </w:r>
      <w:r w:rsidR="00C643FC">
        <w:t>D, Brenner C and Kruger CL (201</w:t>
      </w:r>
      <w:r w:rsidR="00093F3A">
        <w:t>9</w:t>
      </w:r>
      <w:r w:rsidR="00C643FC">
        <w:t xml:space="preserve">) </w:t>
      </w:r>
      <w:r w:rsidR="00C643FC" w:rsidRPr="00C643FC">
        <w:t xml:space="preserve">Safety and </w:t>
      </w:r>
      <w:r w:rsidR="00C643FC">
        <w:t>m</w:t>
      </w:r>
      <w:r w:rsidR="00C643FC" w:rsidRPr="00C643FC">
        <w:t xml:space="preserve">etabolism of </w:t>
      </w:r>
      <w:r w:rsidR="00C643FC">
        <w:t>l</w:t>
      </w:r>
      <w:r w:rsidR="00C643FC" w:rsidRPr="00C643FC">
        <w:t xml:space="preserve">ong-term </w:t>
      </w:r>
      <w:r w:rsidR="00C643FC">
        <w:t>a</w:t>
      </w:r>
      <w:r w:rsidR="00C643FC" w:rsidRPr="00C643FC">
        <w:t>dministration of NIAGEN (</w:t>
      </w:r>
      <w:r w:rsidR="00C643FC">
        <w:t>n</w:t>
      </w:r>
      <w:r w:rsidR="00C643FC" w:rsidRPr="00C643FC">
        <w:t xml:space="preserve">icotinamide </w:t>
      </w:r>
      <w:r w:rsidR="00C643FC">
        <w:t>r</w:t>
      </w:r>
      <w:r w:rsidR="00C643FC" w:rsidRPr="00C643FC">
        <w:t xml:space="preserve">iboside </w:t>
      </w:r>
      <w:r w:rsidR="00C643FC">
        <w:t>c</w:t>
      </w:r>
      <w:r w:rsidR="00C643FC" w:rsidRPr="00C643FC">
        <w:t xml:space="preserve">hloride) in a </w:t>
      </w:r>
      <w:r w:rsidR="00C643FC">
        <w:t>r</w:t>
      </w:r>
      <w:r w:rsidR="00C643FC" w:rsidRPr="00C643FC">
        <w:t xml:space="preserve">andomized, </w:t>
      </w:r>
      <w:r w:rsidR="00C643FC">
        <w:t>d</w:t>
      </w:r>
      <w:r w:rsidR="00C643FC" w:rsidRPr="00C643FC">
        <w:t>ouble-</w:t>
      </w:r>
      <w:r w:rsidR="00C643FC">
        <w:t>b</w:t>
      </w:r>
      <w:r w:rsidR="00C643FC" w:rsidRPr="00C643FC">
        <w:t xml:space="preserve">lind, </w:t>
      </w:r>
      <w:r w:rsidR="00C643FC">
        <w:t>p</w:t>
      </w:r>
      <w:r w:rsidR="00C643FC" w:rsidRPr="00C643FC">
        <w:t xml:space="preserve">lacebo-controlled </w:t>
      </w:r>
      <w:r w:rsidR="00C643FC">
        <w:t>c</w:t>
      </w:r>
      <w:r w:rsidR="00C643FC" w:rsidRPr="00C643FC">
        <w:t xml:space="preserve">linical </w:t>
      </w:r>
      <w:r w:rsidR="00C643FC">
        <w:t>t</w:t>
      </w:r>
      <w:r w:rsidR="00C643FC" w:rsidRPr="00C643FC">
        <w:t xml:space="preserve">rial of </w:t>
      </w:r>
      <w:r w:rsidR="00C643FC">
        <w:t>h</w:t>
      </w:r>
      <w:r w:rsidR="00C643FC" w:rsidRPr="00C643FC">
        <w:t xml:space="preserve">ealthy </w:t>
      </w:r>
      <w:r w:rsidR="00C643FC">
        <w:t>o</w:t>
      </w:r>
      <w:r w:rsidR="00C643FC" w:rsidRPr="00C643FC">
        <w:t xml:space="preserve">verweight </w:t>
      </w:r>
      <w:r w:rsidR="00C643FC">
        <w:t>a</w:t>
      </w:r>
      <w:r w:rsidR="00C643FC" w:rsidRPr="00C643FC">
        <w:t>dults</w:t>
      </w:r>
      <w:r w:rsidR="00C643FC">
        <w:t xml:space="preserve">. Scientific Reports 9(1):9772. </w:t>
      </w:r>
    </w:p>
    <w:p w14:paraId="192ECB7A" w14:textId="52124C1F" w:rsidR="008E3B90" w:rsidRDefault="00C643FC" w:rsidP="00C643FC">
      <w:pPr>
        <w:widowControl/>
      </w:pPr>
      <w:r>
        <w:t xml:space="preserve"> </w:t>
      </w:r>
      <w:hyperlink r:id="rId30" w:history="1">
        <w:r w:rsidR="00E143DC" w:rsidRPr="000051CB">
          <w:rPr>
            <w:rStyle w:val="Hyperlink"/>
          </w:rPr>
          <w:t>https://www.nature.com/articles/s41598-019-46120-z</w:t>
        </w:r>
      </w:hyperlink>
      <w:r w:rsidR="00E143DC">
        <w:t xml:space="preserve"> </w:t>
      </w:r>
    </w:p>
    <w:p w14:paraId="3340BC85" w14:textId="77777777" w:rsidR="008E3B90" w:rsidRDefault="008E3B90" w:rsidP="008E3B90">
      <w:pPr>
        <w:widowControl/>
      </w:pPr>
    </w:p>
    <w:p w14:paraId="7B483CBA" w14:textId="3E290791" w:rsidR="008E3B90" w:rsidRDefault="00093F3A" w:rsidP="008E3B90">
      <w:pPr>
        <w:widowControl/>
      </w:pPr>
      <w:r w:rsidRPr="00093F3A">
        <w:t>Dollerup OL, Christensen B, Svart M, Schmidt MS, Sulek K, Ringgaard S, Stødkilde-Jørgensen H, Møller N, Brenner C, Treebak JT</w:t>
      </w:r>
      <w:r>
        <w:t xml:space="preserve"> and</w:t>
      </w:r>
      <w:r w:rsidRPr="00093F3A">
        <w:t xml:space="preserve"> Jessen N</w:t>
      </w:r>
      <w:r w:rsidR="008E3B90">
        <w:t xml:space="preserve">l </w:t>
      </w:r>
      <w:r>
        <w:t>(</w:t>
      </w:r>
      <w:r w:rsidR="008E3B90">
        <w:t>2018</w:t>
      </w:r>
      <w:r>
        <w:t xml:space="preserve">) </w:t>
      </w:r>
      <w:r w:rsidRPr="00093F3A">
        <w:t>A randomized placebo-controlled clinical trial of nicotinamide riboside in obese men: safety, insulin-sensitivity, and lipid-mobilizing effects</w:t>
      </w:r>
      <w:r>
        <w:t xml:space="preserve">. American Journal of Clinical Nutrition </w:t>
      </w:r>
      <w:r w:rsidRPr="00093F3A">
        <w:t>108(2):</w:t>
      </w:r>
      <w:r>
        <w:t xml:space="preserve"> </w:t>
      </w:r>
      <w:r w:rsidRPr="00093F3A">
        <w:t>343-353</w:t>
      </w:r>
      <w:r w:rsidR="008E3B90">
        <w:t xml:space="preserve"> </w:t>
      </w:r>
      <w:hyperlink r:id="rId31" w:history="1">
        <w:r w:rsidR="00E143DC" w:rsidRPr="000051CB">
          <w:rPr>
            <w:rStyle w:val="Hyperlink"/>
          </w:rPr>
          <w:t>https://academic.oup.com/ajcn/article/108/2/343/5051210</w:t>
        </w:r>
      </w:hyperlink>
      <w:r w:rsidR="00E143DC">
        <w:t xml:space="preserve"> </w:t>
      </w:r>
    </w:p>
    <w:p w14:paraId="471418EC" w14:textId="3C99105A" w:rsidR="003B76FF" w:rsidRDefault="003B76FF" w:rsidP="008E3B90">
      <w:pPr>
        <w:widowControl/>
      </w:pPr>
    </w:p>
    <w:p w14:paraId="3AC7239A" w14:textId="77777777" w:rsidR="003B76FF" w:rsidRDefault="003B76FF" w:rsidP="003B76FF">
      <w:pPr>
        <w:rPr>
          <w:rFonts w:cs="Arial"/>
        </w:rPr>
      </w:pPr>
      <w:r w:rsidRPr="00DF6322">
        <w:t xml:space="preserve">EFSA Panel on Dietetic Products, Nutrition and Allergies (NDA) (2014) Scientific opinion on dietary reference values for niacin. </w:t>
      </w:r>
      <w:r w:rsidRPr="00DF6322">
        <w:rPr>
          <w:iCs/>
        </w:rPr>
        <w:t>EFSA Journal</w:t>
      </w:r>
      <w:r w:rsidRPr="00DF6322">
        <w:t xml:space="preserve"> </w:t>
      </w:r>
      <w:r w:rsidRPr="00DF6322">
        <w:rPr>
          <w:iCs/>
        </w:rPr>
        <w:t>12</w:t>
      </w:r>
      <w:r w:rsidRPr="00DF6322">
        <w:t>(7):3759.</w:t>
      </w:r>
    </w:p>
    <w:p w14:paraId="79E43F85" w14:textId="77777777" w:rsidR="00366F62" w:rsidRDefault="00366F62" w:rsidP="003B76FF">
      <w:pPr>
        <w:rPr>
          <w:rFonts w:cs="Arial"/>
        </w:rPr>
      </w:pPr>
    </w:p>
    <w:p w14:paraId="1D4EB6B7" w14:textId="217FB172" w:rsidR="008E3B90" w:rsidRPr="003B76FF" w:rsidRDefault="00ED5F7D" w:rsidP="003B76FF">
      <w:pPr>
        <w:rPr>
          <w:rFonts w:cs="Arial"/>
        </w:rPr>
      </w:pPr>
      <w:r w:rsidRPr="00ED5F7D">
        <w:t>EFSA Panel on Nutrition, Novel foods and Food allergens (NDA), Turck D, Castenmiller J, de Henauw S, Hirsch-Ernst KI, Kearney J, Maciuk A, Mangelsdorf I, McArdle HJ, Naska A, Pelaez C, Pentieva K, Siani A, Thies F, Tsabouri S, Vinceti M, Cubadda F, Engel KH, Frenzel T, Heinonen M, Marchelli R, Neuhäuser-Berthold M, Pöting A, Poulsen M, Sanz Y, Schlatter JR, van Loveren Agnès de Sesmaisons-Lecarré H, Germini A</w:t>
      </w:r>
      <w:r>
        <w:t xml:space="preserve"> and</w:t>
      </w:r>
      <w:r w:rsidRPr="00ED5F7D">
        <w:t xml:space="preserve"> Knutsen HK</w:t>
      </w:r>
      <w:r>
        <w:t xml:space="preserve"> (2019) </w:t>
      </w:r>
      <w:r w:rsidRPr="00ED5F7D">
        <w:t>Safety of nicotinamide riboside chloride as a novel food pursuant to Regulation (EU) 2015/2283 and bioavailability of nicotinamide from this source, in the context of Directive 2002/46/EC</w:t>
      </w:r>
      <w:r>
        <w:t xml:space="preserve">. EFSA Journal 17(8):e05775. </w:t>
      </w:r>
      <w:hyperlink r:id="rId32" w:history="1">
        <w:r w:rsidR="00E143DC" w:rsidRPr="000051CB">
          <w:rPr>
            <w:rStyle w:val="Hyperlink"/>
          </w:rPr>
          <w:t>https://efsa.onlinelibrary.wiley.com/doi/abs/10.2903/j.efsa.2019.5775</w:t>
        </w:r>
      </w:hyperlink>
      <w:r w:rsidR="00E143DC">
        <w:t xml:space="preserve"> </w:t>
      </w:r>
    </w:p>
    <w:p w14:paraId="0AE76DF7" w14:textId="77777777" w:rsidR="008E3B90" w:rsidRDefault="008E3B90" w:rsidP="008E3B90">
      <w:pPr>
        <w:widowControl/>
      </w:pPr>
    </w:p>
    <w:p w14:paraId="6B72596C" w14:textId="629D29E8" w:rsidR="008E3B90" w:rsidRDefault="00525D25" w:rsidP="00525D25">
      <w:pPr>
        <w:widowControl/>
      </w:pPr>
      <w:r w:rsidRPr="00525D25">
        <w:t>Elhassan YS, Kluckova K, Fletcher RS, Schmidt MS, Garten A, Doig CL, Cartwright DM, Oakey L, Burley CV, Jenkinson N, Wilson M, Lucas SJE, Akerman I, Seabright A, Lai YC, Tennant DA, Nightingale P, Wallis GA, Manolopoulos KN, Brenner C, Philp A</w:t>
      </w:r>
      <w:r>
        <w:t xml:space="preserve"> and</w:t>
      </w:r>
      <w:r w:rsidRPr="00525D25">
        <w:t xml:space="preserve"> Lavery GG</w:t>
      </w:r>
      <w:r>
        <w:t xml:space="preserve"> (2019) </w:t>
      </w:r>
      <w:r w:rsidRPr="00525D25">
        <w:t xml:space="preserve">Nicotinamide </w:t>
      </w:r>
      <w:r>
        <w:t>r</w:t>
      </w:r>
      <w:r w:rsidRPr="00525D25">
        <w:t xml:space="preserve">iboside </w:t>
      </w:r>
      <w:r>
        <w:t>a</w:t>
      </w:r>
      <w:r w:rsidRPr="00525D25">
        <w:t>ugments the aged human skeletal muscle NAD+ metabolome and induces transcriptomic and anti-inflammatory signatures</w:t>
      </w:r>
      <w:r>
        <w:t xml:space="preserve">. Cell Reports 28: 1717–1728 </w:t>
      </w:r>
      <w:hyperlink r:id="rId33" w:history="1">
        <w:r w:rsidRPr="000051CB">
          <w:rPr>
            <w:rStyle w:val="Hyperlink"/>
          </w:rPr>
          <w:t>https://doi.org/10.1016/j.celrep.2019.07.043</w:t>
        </w:r>
      </w:hyperlink>
      <w:r>
        <w:t xml:space="preserve"> </w:t>
      </w:r>
    </w:p>
    <w:p w14:paraId="425D9913" w14:textId="01746A0D" w:rsidR="003B76FF" w:rsidRDefault="003B76FF" w:rsidP="00525D25">
      <w:pPr>
        <w:widowControl/>
      </w:pPr>
    </w:p>
    <w:p w14:paraId="00689393" w14:textId="43718446" w:rsidR="003B76FF" w:rsidRPr="007B4286" w:rsidRDefault="003B76FF" w:rsidP="003B76FF">
      <w:pPr>
        <w:pStyle w:val="reference"/>
        <w:rPr>
          <w:rFonts w:ascii="Arial" w:hAnsi="Arial" w:cs="Arial"/>
          <w:sz w:val="22"/>
          <w:szCs w:val="22"/>
          <w:lang w:val="en"/>
        </w:rPr>
      </w:pPr>
      <w:r w:rsidRPr="007B4286">
        <w:rPr>
          <w:rFonts w:ascii="Arial" w:hAnsi="Arial" w:cs="Arial"/>
          <w:sz w:val="22"/>
          <w:szCs w:val="22"/>
          <w:lang w:val="en"/>
        </w:rPr>
        <w:t>Goldsmith GA, Rosenthal HL, Gibbens J</w:t>
      </w:r>
      <w:r w:rsidR="00FE62E9">
        <w:rPr>
          <w:rFonts w:ascii="Arial" w:hAnsi="Arial" w:cs="Arial"/>
          <w:sz w:val="22"/>
          <w:szCs w:val="22"/>
          <w:lang w:val="en"/>
        </w:rPr>
        <w:t xml:space="preserve"> and</w:t>
      </w:r>
      <w:r w:rsidRPr="007B4286">
        <w:rPr>
          <w:rFonts w:ascii="Arial" w:hAnsi="Arial" w:cs="Arial"/>
          <w:sz w:val="22"/>
          <w:szCs w:val="22"/>
          <w:lang w:val="en"/>
        </w:rPr>
        <w:t xml:space="preserve"> Unglaub WG (1955) Studies on niacin requirement in man. 2. Requirement on wheat and corn diets low in tryptophan. Journal of  Nutrition 56:371-86.</w:t>
      </w:r>
    </w:p>
    <w:p w14:paraId="46F21B22" w14:textId="64985E3E" w:rsidR="003B76FF" w:rsidRPr="007B4286" w:rsidRDefault="003B76FF" w:rsidP="003B76FF">
      <w:pPr>
        <w:pStyle w:val="reference"/>
        <w:rPr>
          <w:rFonts w:ascii="Arial" w:hAnsi="Arial" w:cs="Arial"/>
          <w:sz w:val="22"/>
          <w:szCs w:val="22"/>
          <w:lang w:val="en"/>
        </w:rPr>
      </w:pPr>
      <w:r w:rsidRPr="007B4286">
        <w:rPr>
          <w:rFonts w:ascii="Arial" w:hAnsi="Arial" w:cs="Arial"/>
          <w:sz w:val="22"/>
          <w:szCs w:val="22"/>
          <w:lang w:val="en"/>
        </w:rPr>
        <w:t>Goldsmith GA, Sarett HP, Register UD</w:t>
      </w:r>
      <w:r w:rsidR="00FE62E9">
        <w:rPr>
          <w:rFonts w:ascii="Arial" w:hAnsi="Arial" w:cs="Arial"/>
          <w:sz w:val="22"/>
          <w:szCs w:val="22"/>
          <w:lang w:val="en"/>
        </w:rPr>
        <w:t xml:space="preserve"> and</w:t>
      </w:r>
      <w:r w:rsidRPr="007B4286">
        <w:rPr>
          <w:rFonts w:ascii="Arial" w:hAnsi="Arial" w:cs="Arial"/>
          <w:sz w:val="22"/>
          <w:szCs w:val="22"/>
          <w:lang w:val="en"/>
        </w:rPr>
        <w:t xml:space="preserve"> Gibbens J. (1952) Studies on niacin requirements in man. 1. Experimental pellagra in subjects on corn diets low in niacin and tryptophan. Journal of Clinical Investigation 31:533-42.</w:t>
      </w:r>
    </w:p>
    <w:p w14:paraId="5107D20D" w14:textId="77777777" w:rsidR="003B76FF" w:rsidRPr="007B4286" w:rsidRDefault="003B76FF" w:rsidP="003B76FF">
      <w:pPr>
        <w:rPr>
          <w:rFonts w:cs="Arial"/>
          <w:szCs w:val="22"/>
        </w:rPr>
      </w:pPr>
      <w:r w:rsidRPr="007B4286">
        <w:rPr>
          <w:rFonts w:cs="Arial"/>
          <w:szCs w:val="22"/>
        </w:rPr>
        <w:t>Grossman L and Kaplan NO (1958) Nicotinamide riboside phosphorylase from human erythrocytes I</w:t>
      </w:r>
      <w:r w:rsidRPr="007B4286">
        <w:rPr>
          <w:rFonts w:cs="Arial"/>
          <w:szCs w:val="22"/>
          <w:lang w:val="en"/>
        </w:rPr>
        <w:t xml:space="preserve"> Phosphorolytic activity</w:t>
      </w:r>
      <w:r w:rsidRPr="007B4286">
        <w:rPr>
          <w:rFonts w:cs="Arial"/>
          <w:szCs w:val="22"/>
        </w:rPr>
        <w:t xml:space="preserve">. Journal of Biological Chemistry </w:t>
      </w:r>
      <w:r w:rsidRPr="007B4286">
        <w:rPr>
          <w:rFonts w:cs="Arial"/>
          <w:szCs w:val="22"/>
        </w:rPr>
        <w:lastRenderedPageBreak/>
        <w:t>231(2):717-726.</w:t>
      </w:r>
    </w:p>
    <w:p w14:paraId="6A151D08" w14:textId="77777777" w:rsidR="003B76FF" w:rsidRPr="007B4286" w:rsidRDefault="003B76FF" w:rsidP="00525D25">
      <w:pPr>
        <w:widowControl/>
        <w:rPr>
          <w:rFonts w:cs="Arial"/>
          <w:szCs w:val="22"/>
        </w:rPr>
      </w:pPr>
    </w:p>
    <w:p w14:paraId="60026B3B" w14:textId="3D38ABF0" w:rsidR="00227A78" w:rsidRDefault="00227A78" w:rsidP="00525D25">
      <w:pPr>
        <w:widowControl/>
      </w:pPr>
      <w:r>
        <w:t>Hamity MV, White SR, Blum C, Gibson-Corley KM and Hammond DL (2020)</w:t>
      </w:r>
      <w:r w:rsidR="00F128FD">
        <w:t xml:space="preserve"> </w:t>
      </w:r>
      <w:r w:rsidR="00206A6A">
        <w:t xml:space="preserve">Nicotinamide riboside relieves paclitaxel-induced peripheral neuropathy and enhances suppression of tumor growth in tumor-bearing rats. Pain </w:t>
      </w:r>
      <w:r w:rsidR="007F3173">
        <w:t>161: 2364-2375</w:t>
      </w:r>
    </w:p>
    <w:p w14:paraId="4228F2CD" w14:textId="03B1AF9B" w:rsidR="005D126C" w:rsidRDefault="005D126C" w:rsidP="00525D25">
      <w:pPr>
        <w:widowControl/>
      </w:pPr>
    </w:p>
    <w:p w14:paraId="52AA87FA" w14:textId="1569FE57" w:rsidR="005D126C" w:rsidRDefault="005D126C" w:rsidP="00525D25">
      <w:pPr>
        <w:widowControl/>
      </w:pPr>
      <w:r>
        <w:t xml:space="preserve">Hinderling VB, Phielix E and Schrauwen P (2020) </w:t>
      </w:r>
      <w:r w:rsidRPr="00404FD2">
        <w:t>Nicotinamide riboside supplementation alters body composition and skeletal muscle acetylcarnitine concentrations in healthy obese humans</w:t>
      </w:r>
      <w:r>
        <w:t xml:space="preserve">. American Journal of Clinical Nutrition </w:t>
      </w:r>
      <w:r w:rsidRPr="00AC43CB">
        <w:t>112(2):</w:t>
      </w:r>
      <w:r>
        <w:t xml:space="preserve"> </w:t>
      </w:r>
      <w:r w:rsidRPr="00AC43CB">
        <w:t>413-426</w:t>
      </w:r>
      <w:r>
        <w:t xml:space="preserve"> </w:t>
      </w:r>
      <w:hyperlink r:id="rId34" w:history="1">
        <w:r w:rsidRPr="000051CB">
          <w:rPr>
            <w:rStyle w:val="Hyperlink"/>
          </w:rPr>
          <w:t>https://academic.oup.com/ajcn/article/112/2/413/5823793</w:t>
        </w:r>
      </w:hyperlink>
    </w:p>
    <w:p w14:paraId="3FCA90C9" w14:textId="578CA018" w:rsidR="003B76FF" w:rsidRDefault="003B76FF" w:rsidP="00525D25">
      <w:pPr>
        <w:widowControl/>
      </w:pPr>
    </w:p>
    <w:p w14:paraId="56027627" w14:textId="77777777" w:rsidR="003B76FF" w:rsidRDefault="003B76FF" w:rsidP="003B76FF">
      <w:r w:rsidRPr="00BB3688">
        <w:t xml:space="preserve">Institute of Medicine (US) Standing Committee on the Scientific Evaluation of Dietary Reference Intakes (1998) Introduction to Dietary Reference Intakes. In </w:t>
      </w:r>
      <w:r w:rsidRPr="00BB3688">
        <w:rPr>
          <w:iCs/>
        </w:rPr>
        <w:t>Dietary reference intakes for thiamin, riboflavin, niacin, vitamin B6, folate, vitamin B12, pantothenic acid, biotin, and choline</w:t>
      </w:r>
      <w:r w:rsidRPr="00BB3688">
        <w:t>. National Academies Press (US).</w:t>
      </w:r>
    </w:p>
    <w:p w14:paraId="377B8A3D" w14:textId="77777777" w:rsidR="003B76FF" w:rsidRDefault="003B76FF" w:rsidP="003B76FF"/>
    <w:p w14:paraId="48E6AEF5" w14:textId="42B727A7" w:rsidR="003B76FF" w:rsidRDefault="003B76FF" w:rsidP="003B76FF">
      <w:pPr>
        <w:widowControl/>
      </w:pPr>
      <w:r>
        <w:rPr>
          <w:color w:val="222222"/>
        </w:rPr>
        <w:t>Jacob RA, Swendseid ME, McKee RW, Fu CS</w:t>
      </w:r>
      <w:r w:rsidR="00FE62E9">
        <w:rPr>
          <w:color w:val="222222"/>
        </w:rPr>
        <w:t xml:space="preserve"> and</w:t>
      </w:r>
      <w:r>
        <w:rPr>
          <w:color w:val="222222"/>
        </w:rPr>
        <w:t xml:space="preserve"> Clemens RA (1989) Biochemical markers for assessment of niacin status in young men: urinary and blood levels of niacin metabolites. The Journal of </w:t>
      </w:r>
      <w:r w:rsidR="00D956D6">
        <w:rPr>
          <w:color w:val="222222"/>
        </w:rPr>
        <w:t>N</w:t>
      </w:r>
      <w:r>
        <w:rPr>
          <w:color w:val="222222"/>
        </w:rPr>
        <w:t>utrition 1;119(4):591-8.</w:t>
      </w:r>
    </w:p>
    <w:p w14:paraId="6898F090" w14:textId="77777777" w:rsidR="00227A78" w:rsidRDefault="00227A78" w:rsidP="00525D25">
      <w:pPr>
        <w:widowControl/>
      </w:pPr>
    </w:p>
    <w:p w14:paraId="71C20479" w14:textId="68A9C880" w:rsidR="005D3790" w:rsidRPr="005D3790" w:rsidRDefault="005D3790" w:rsidP="005D3790">
      <w:pPr>
        <w:rPr>
          <w:rFonts w:eastAsia="Calibri"/>
          <w:color w:val="222222"/>
          <w:szCs w:val="22"/>
          <w:lang w:bidi="ar-SA"/>
        </w:rPr>
      </w:pPr>
      <w:r w:rsidRPr="005D3790">
        <w:rPr>
          <w:rFonts w:eastAsia="Calibri"/>
          <w:color w:val="222222"/>
          <w:szCs w:val="22"/>
          <w:lang w:bidi="ar-SA"/>
        </w:rPr>
        <w:t>Kamanna VS, Ganji SH</w:t>
      </w:r>
      <w:r w:rsidR="00FE62E9">
        <w:rPr>
          <w:rFonts w:eastAsia="Calibri"/>
          <w:color w:val="222222"/>
          <w:szCs w:val="22"/>
          <w:lang w:bidi="ar-SA"/>
        </w:rPr>
        <w:t xml:space="preserve"> and</w:t>
      </w:r>
      <w:r w:rsidRPr="005D3790">
        <w:rPr>
          <w:rFonts w:eastAsia="Calibri"/>
          <w:color w:val="222222"/>
          <w:szCs w:val="22"/>
          <w:lang w:bidi="ar-SA"/>
        </w:rPr>
        <w:t xml:space="preserve"> Kashyap ML</w:t>
      </w:r>
      <w:r>
        <w:rPr>
          <w:rFonts w:eastAsia="Calibri"/>
          <w:color w:val="222222"/>
          <w:szCs w:val="22"/>
          <w:lang w:bidi="ar-SA"/>
        </w:rPr>
        <w:t xml:space="preserve"> (2006)</w:t>
      </w:r>
      <w:r w:rsidRPr="005D3790">
        <w:rPr>
          <w:rFonts w:eastAsia="Calibri"/>
          <w:color w:val="222222"/>
          <w:szCs w:val="22"/>
          <w:lang w:bidi="ar-SA"/>
        </w:rPr>
        <w:t>. The mechanism and mitigation of niacin</w:t>
      </w:r>
      <w:r w:rsidRPr="005D3790">
        <w:rPr>
          <w:rFonts w:ascii="Cambria Math" w:eastAsia="Calibri" w:hAnsi="Cambria Math" w:cs="Cambria Math"/>
          <w:color w:val="222222"/>
          <w:szCs w:val="22"/>
          <w:lang w:bidi="ar-SA"/>
        </w:rPr>
        <w:t>‐</w:t>
      </w:r>
      <w:r w:rsidRPr="005D3790">
        <w:rPr>
          <w:rFonts w:eastAsia="Calibri"/>
          <w:color w:val="222222"/>
          <w:szCs w:val="22"/>
          <w:lang w:bidi="ar-SA"/>
        </w:rPr>
        <w:t xml:space="preserve">induced flushing. International </w:t>
      </w:r>
      <w:r>
        <w:rPr>
          <w:rFonts w:eastAsia="Calibri"/>
          <w:color w:val="222222"/>
          <w:szCs w:val="22"/>
          <w:lang w:bidi="ar-SA"/>
        </w:rPr>
        <w:t>J</w:t>
      </w:r>
      <w:r w:rsidRPr="005D3790">
        <w:rPr>
          <w:rFonts w:eastAsia="Calibri"/>
          <w:color w:val="222222"/>
          <w:szCs w:val="22"/>
          <w:lang w:bidi="ar-SA"/>
        </w:rPr>
        <w:t xml:space="preserve">ournal of </w:t>
      </w:r>
      <w:r>
        <w:rPr>
          <w:rFonts w:eastAsia="Calibri"/>
          <w:color w:val="222222"/>
          <w:szCs w:val="22"/>
          <w:lang w:bidi="ar-SA"/>
        </w:rPr>
        <w:t>C</w:t>
      </w:r>
      <w:r w:rsidRPr="005D3790">
        <w:rPr>
          <w:rFonts w:eastAsia="Calibri"/>
          <w:color w:val="222222"/>
          <w:szCs w:val="22"/>
          <w:lang w:bidi="ar-SA"/>
        </w:rPr>
        <w:t xml:space="preserve">linical </w:t>
      </w:r>
      <w:r>
        <w:rPr>
          <w:rFonts w:eastAsia="Calibri"/>
          <w:color w:val="222222"/>
          <w:szCs w:val="22"/>
          <w:lang w:bidi="ar-SA"/>
        </w:rPr>
        <w:t>P</w:t>
      </w:r>
      <w:r w:rsidRPr="005D3790">
        <w:rPr>
          <w:rFonts w:eastAsia="Calibri"/>
          <w:color w:val="222222"/>
          <w:szCs w:val="22"/>
          <w:lang w:bidi="ar-SA"/>
        </w:rPr>
        <w:t>ractice. 63(9):1369-77.</w:t>
      </w:r>
    </w:p>
    <w:p w14:paraId="529D3E16" w14:textId="77777777" w:rsidR="005D3790" w:rsidRDefault="005D3790" w:rsidP="00525D25">
      <w:pPr>
        <w:widowControl/>
      </w:pPr>
    </w:p>
    <w:p w14:paraId="70B3E967" w14:textId="42B270C6" w:rsidR="008017B9" w:rsidRDefault="00227A78" w:rsidP="00525D25">
      <w:pPr>
        <w:widowControl/>
      </w:pPr>
      <w:r>
        <w:t>Kou</w:t>
      </w:r>
      <w:r w:rsidR="008017B9">
        <w:t>rtzidis IA, Stoupas AT, Gioris IS, Veskoukis AS, Margaritelis NV, Tsantarliotou M, Taitzoglou I, Vrabis IS, Paschalis V, Kyparos A and Nikolaidis MG (2016). The NAD</w:t>
      </w:r>
      <w:r w:rsidR="008017B9">
        <w:rPr>
          <w:vertAlign w:val="superscript"/>
        </w:rPr>
        <w:t>+</w:t>
      </w:r>
      <w:r w:rsidR="008017B9">
        <w:t>precursor nicotinamide riboside decreases exercise performance in rats. Journal of the International Society of Sports Nutrition 13:32</w:t>
      </w:r>
    </w:p>
    <w:p w14:paraId="2828ECA8" w14:textId="75E800B3" w:rsidR="00AB0E00" w:rsidRDefault="00AB0E00" w:rsidP="00525D25">
      <w:pPr>
        <w:widowControl/>
      </w:pPr>
    </w:p>
    <w:p w14:paraId="606FC01F" w14:textId="737BFFEE" w:rsidR="00AB0E00" w:rsidRPr="008017B9" w:rsidRDefault="00AB0E00" w:rsidP="00525D25">
      <w:pPr>
        <w:widowControl/>
      </w:pPr>
      <w:r>
        <w:t xml:space="preserve">Liu L, Su X, Quinn WJ, Hui S, Krukenberg K, Frederick DW, Redpath P, Zhan L, Chellapa K, White E, Migaud M, Mitchison TJ, Baur JA and Rabinowitz JD (2018). Quantitative analysis of NAD synthesis-breakdown fluxes. Cell Metabolism </w:t>
      </w:r>
      <w:r w:rsidR="00E43943">
        <w:t xml:space="preserve">27(5): 1967-1080 </w:t>
      </w:r>
      <w:hyperlink r:id="rId35" w:history="1">
        <w:r w:rsidR="00E43943" w:rsidRPr="00D456E3">
          <w:rPr>
            <w:rStyle w:val="Hyperlink"/>
          </w:rPr>
          <w:t>https://www.sciencedirect.com/science/article/pii/S1550413118301967</w:t>
        </w:r>
      </w:hyperlink>
      <w:r w:rsidR="00E43943">
        <w:t xml:space="preserve"> </w:t>
      </w:r>
    </w:p>
    <w:p w14:paraId="1CDD6305" w14:textId="77777777" w:rsidR="008E3B90" w:rsidRDefault="008E3B90" w:rsidP="008E3B90">
      <w:pPr>
        <w:widowControl/>
      </w:pPr>
    </w:p>
    <w:p w14:paraId="09FB64D5" w14:textId="22A2664A" w:rsidR="009E7B9A" w:rsidRDefault="009E7B9A" w:rsidP="008E3B90">
      <w:pPr>
        <w:widowControl/>
      </w:pPr>
      <w:r>
        <w:t>Marinescu AG, Chen J, Holmes HE, Guarente L, Mendes O, Morris M</w:t>
      </w:r>
      <w:r w:rsidR="00FE62E9">
        <w:t xml:space="preserve"> </w:t>
      </w:r>
      <w:r>
        <w:t>and Dellinger RW (2020). Safety assessment of high-purity, synthetic nicotinamide riboside (NR-E) in a 90-day repeated dose oral toxicity study, with a 28-day recovery arm. International Journal of Toxicology 39(4) 307-320</w:t>
      </w:r>
    </w:p>
    <w:p w14:paraId="202E8291" w14:textId="77777777" w:rsidR="009E7B9A" w:rsidRDefault="009E7B9A" w:rsidP="008E3B90">
      <w:pPr>
        <w:widowControl/>
      </w:pPr>
    </w:p>
    <w:p w14:paraId="6B6E9D72" w14:textId="1598C0F0" w:rsidR="008E3B90" w:rsidRDefault="00CB658F" w:rsidP="008E3B90">
      <w:pPr>
        <w:widowControl/>
      </w:pPr>
      <w:r w:rsidRPr="00CB658F">
        <w:t>Martens CR, Denman</w:t>
      </w:r>
      <w:r>
        <w:t xml:space="preserve"> BA</w:t>
      </w:r>
      <w:r w:rsidRPr="00CB658F">
        <w:t>, Mazzo</w:t>
      </w:r>
      <w:r>
        <w:t xml:space="preserve"> MR</w:t>
      </w:r>
      <w:r w:rsidRPr="00CB658F">
        <w:t>, Armstrong</w:t>
      </w:r>
      <w:r>
        <w:t xml:space="preserve"> ML, </w:t>
      </w:r>
      <w:r w:rsidRPr="00CB658F">
        <w:t>Reisdorph</w:t>
      </w:r>
      <w:r>
        <w:t xml:space="preserve"> N</w:t>
      </w:r>
      <w:r w:rsidRPr="00CB658F">
        <w:t>, McQueen</w:t>
      </w:r>
      <w:r>
        <w:t xml:space="preserve"> MB</w:t>
      </w:r>
      <w:r w:rsidR="0072613B">
        <w:t xml:space="preserve">, Chonchol </w:t>
      </w:r>
      <w:r w:rsidRPr="00CB658F">
        <w:t>M</w:t>
      </w:r>
      <w:r>
        <w:t xml:space="preserve"> and</w:t>
      </w:r>
      <w:r w:rsidRPr="00CB658F">
        <w:t xml:space="preserve"> Seals</w:t>
      </w:r>
      <w:r>
        <w:t xml:space="preserve"> DR (2018)</w:t>
      </w:r>
      <w:r w:rsidRPr="00CB658F">
        <w:t>. Chronic nicotinamide riboside supplementation is well-tolerated and elevates NAD+ in healt</w:t>
      </w:r>
      <w:r>
        <w:t>hy middle-aged and older adults</w:t>
      </w:r>
      <w:r w:rsidRPr="00CB658F">
        <w:t>. Nat</w:t>
      </w:r>
      <w:r>
        <w:t>ure Communications</w:t>
      </w:r>
      <w:r w:rsidRPr="00CB658F">
        <w:t xml:space="preserve"> 9(1):1286. </w:t>
      </w:r>
      <w:hyperlink r:id="rId36" w:history="1">
        <w:r w:rsidR="00E143DC" w:rsidRPr="000051CB">
          <w:rPr>
            <w:rStyle w:val="Hyperlink"/>
          </w:rPr>
          <w:t>https://www.nature.com/articles/s41467-018-03421-7</w:t>
        </w:r>
      </w:hyperlink>
      <w:r w:rsidR="00E143DC">
        <w:t xml:space="preserve"> </w:t>
      </w:r>
    </w:p>
    <w:p w14:paraId="14A17414" w14:textId="77777777" w:rsidR="00CB658F" w:rsidRDefault="00CB658F" w:rsidP="008E3B90">
      <w:pPr>
        <w:widowControl/>
      </w:pPr>
    </w:p>
    <w:p w14:paraId="111E5A5A" w14:textId="7BEC33ED" w:rsidR="002A6D68" w:rsidRDefault="002A6D68" w:rsidP="008E3B90">
      <w:pPr>
        <w:widowControl/>
      </w:pPr>
      <w:r>
        <w:t>Mehmel M, Jovanovi</w:t>
      </w:r>
      <w:r>
        <w:rPr>
          <w:rFonts w:cs="Arial"/>
        </w:rPr>
        <w:t>ć</w:t>
      </w:r>
      <w:r>
        <w:t xml:space="preserve"> N and Spitz U (2020) Nicotinamide riboside – the current state of research and therapeutic uses. Nutrients 12, 1616 </w:t>
      </w:r>
      <w:hyperlink r:id="rId37" w:history="1">
        <w:r w:rsidRPr="00D456E3">
          <w:rPr>
            <w:rStyle w:val="Hyperlink"/>
          </w:rPr>
          <w:t>https://www.mdpi.com/2072-6643/12/6/1616</w:t>
        </w:r>
      </w:hyperlink>
      <w:r>
        <w:t xml:space="preserve"> </w:t>
      </w:r>
    </w:p>
    <w:p w14:paraId="2F911065" w14:textId="6F1956A7" w:rsidR="003B76FF" w:rsidRDefault="003B76FF" w:rsidP="008E3B90">
      <w:pPr>
        <w:widowControl/>
      </w:pPr>
    </w:p>
    <w:p w14:paraId="4E5C521B" w14:textId="77777777" w:rsidR="003B76FF" w:rsidRPr="007B4286" w:rsidRDefault="003B76FF" w:rsidP="003B76FF">
      <w:pPr>
        <w:rPr>
          <w:rFonts w:cs="Arial"/>
          <w:szCs w:val="22"/>
        </w:rPr>
      </w:pPr>
      <w:r w:rsidRPr="007B4286">
        <w:rPr>
          <w:rFonts w:cs="Arial"/>
          <w:szCs w:val="22"/>
          <w:lang w:val="en"/>
        </w:rPr>
        <w:t>McCormick DB (1988) Niacin. In; Shils ME, Young VR eds. Modern nutrition in health and disease. Philadelphia: Lea and Febiger 370-375.</w:t>
      </w:r>
    </w:p>
    <w:p w14:paraId="3A1E3C2E" w14:textId="77777777" w:rsidR="003B76FF" w:rsidRDefault="003B76FF" w:rsidP="008E3B90">
      <w:pPr>
        <w:widowControl/>
      </w:pPr>
    </w:p>
    <w:p w14:paraId="1D5F7014" w14:textId="77777777" w:rsidR="00336FAA" w:rsidRDefault="00336FAA" w:rsidP="00336FAA">
      <w:pPr>
        <w:widowControl/>
        <w:autoSpaceDE w:val="0"/>
        <w:autoSpaceDN w:val="0"/>
        <w:adjustRightInd w:val="0"/>
        <w:rPr>
          <w:rFonts w:cs="Arial"/>
          <w:szCs w:val="22"/>
          <w:lang w:eastAsia="en-GB" w:bidi="ar-SA"/>
        </w:rPr>
      </w:pPr>
      <w:r w:rsidRPr="000933A3">
        <w:rPr>
          <w:rFonts w:cs="Arial"/>
          <w:szCs w:val="22"/>
          <w:lang w:eastAsia="en-GB" w:bidi="ar-SA"/>
        </w:rPr>
        <w:t>Ministry of Health</w:t>
      </w:r>
      <w:r>
        <w:rPr>
          <w:rFonts w:cs="Arial"/>
          <w:szCs w:val="22"/>
          <w:lang w:eastAsia="en-GB" w:bidi="ar-SA"/>
        </w:rPr>
        <w:t xml:space="preserve"> (</w:t>
      </w:r>
      <w:r w:rsidRPr="000933A3">
        <w:rPr>
          <w:rFonts w:cs="Arial"/>
          <w:szCs w:val="22"/>
          <w:lang w:eastAsia="en-GB" w:bidi="ar-SA"/>
        </w:rPr>
        <w:t>2003</w:t>
      </w:r>
      <w:r>
        <w:rPr>
          <w:rFonts w:cs="Arial"/>
          <w:szCs w:val="22"/>
          <w:lang w:eastAsia="en-GB" w:bidi="ar-SA"/>
        </w:rPr>
        <w:t>)</w:t>
      </w:r>
      <w:r w:rsidRPr="000933A3">
        <w:rPr>
          <w:rFonts w:cs="Arial"/>
          <w:i/>
          <w:szCs w:val="22"/>
          <w:lang w:eastAsia="en-GB" w:bidi="ar-SA"/>
        </w:rPr>
        <w:t xml:space="preserve"> </w:t>
      </w:r>
      <w:r w:rsidRPr="00F21271">
        <w:rPr>
          <w:rFonts w:cs="Arial"/>
          <w:szCs w:val="22"/>
          <w:lang w:eastAsia="en-GB" w:bidi="ar-SA"/>
        </w:rPr>
        <w:t xml:space="preserve">NZ Food NZ Children: Key results </w:t>
      </w:r>
      <w:r w:rsidRPr="00F21271">
        <w:rPr>
          <w:rFonts w:cs="Arial"/>
          <w:iCs/>
          <w:szCs w:val="22"/>
          <w:lang w:eastAsia="en-GB" w:bidi="ar-SA"/>
        </w:rPr>
        <w:t>of the 2002 National Children’s Nutrition Survey</w:t>
      </w:r>
      <w:r w:rsidRPr="00F21271">
        <w:rPr>
          <w:rFonts w:cs="Arial"/>
          <w:szCs w:val="22"/>
          <w:lang w:eastAsia="en-GB" w:bidi="ar-SA"/>
        </w:rPr>
        <w:t xml:space="preserve">. </w:t>
      </w:r>
      <w:r w:rsidRPr="000933A3">
        <w:rPr>
          <w:rFonts w:cs="Arial"/>
          <w:szCs w:val="22"/>
          <w:lang w:eastAsia="en-GB" w:bidi="ar-SA"/>
        </w:rPr>
        <w:t>Wellington: Ministry of Health.</w:t>
      </w:r>
    </w:p>
    <w:p w14:paraId="715B673C" w14:textId="77777777" w:rsidR="00336FAA" w:rsidRDefault="00336FAA" w:rsidP="00336FAA">
      <w:pPr>
        <w:widowControl/>
        <w:autoSpaceDE w:val="0"/>
        <w:autoSpaceDN w:val="0"/>
        <w:adjustRightInd w:val="0"/>
        <w:rPr>
          <w:rFonts w:cs="Arial"/>
          <w:szCs w:val="22"/>
          <w:lang w:eastAsia="en-GB" w:bidi="ar-SA"/>
        </w:rPr>
      </w:pPr>
    </w:p>
    <w:p w14:paraId="5A945CEF" w14:textId="77777777" w:rsidR="00336FAA" w:rsidRDefault="00336FAA" w:rsidP="00336FAA">
      <w:pPr>
        <w:widowControl/>
        <w:autoSpaceDE w:val="0"/>
        <w:autoSpaceDN w:val="0"/>
        <w:adjustRightInd w:val="0"/>
        <w:rPr>
          <w:rFonts w:cs="Arial"/>
          <w:szCs w:val="22"/>
          <w:lang w:eastAsia="en-GB" w:bidi="ar-SA"/>
        </w:rPr>
      </w:pPr>
      <w:r w:rsidRPr="000933A3">
        <w:rPr>
          <w:rFonts w:cs="Arial"/>
          <w:szCs w:val="22"/>
          <w:lang w:eastAsia="en-GB" w:bidi="ar-SA"/>
        </w:rPr>
        <w:t>Ministry of Health</w:t>
      </w:r>
      <w:r>
        <w:rPr>
          <w:rFonts w:cs="Arial"/>
          <w:szCs w:val="22"/>
          <w:lang w:eastAsia="en-GB" w:bidi="ar-SA"/>
        </w:rPr>
        <w:t xml:space="preserve"> (</w:t>
      </w:r>
      <w:r w:rsidRPr="000933A3">
        <w:rPr>
          <w:rFonts w:cs="Arial"/>
          <w:szCs w:val="22"/>
          <w:lang w:eastAsia="en-GB" w:bidi="ar-SA"/>
        </w:rPr>
        <w:t>20</w:t>
      </w:r>
      <w:r>
        <w:rPr>
          <w:rFonts w:cs="Arial"/>
          <w:szCs w:val="22"/>
          <w:lang w:eastAsia="en-GB" w:bidi="ar-SA"/>
        </w:rPr>
        <w:t>12)</w:t>
      </w:r>
      <w:r w:rsidRPr="007273C8">
        <w:rPr>
          <w:rFonts w:cs="Arial"/>
          <w:szCs w:val="22"/>
          <w:lang w:eastAsia="en-GB" w:bidi="ar-SA"/>
        </w:rPr>
        <w:t xml:space="preserve"> 2008/09 New Zealand Adult Nutrition Survey data tables</w:t>
      </w:r>
      <w:r w:rsidRPr="000933A3">
        <w:rPr>
          <w:rFonts w:cs="Arial"/>
          <w:szCs w:val="22"/>
          <w:lang w:eastAsia="en-GB" w:bidi="ar-SA"/>
        </w:rPr>
        <w:t>. Wellington: Ministry of Health.</w:t>
      </w:r>
      <w:r>
        <w:rPr>
          <w:rFonts w:cs="Arial"/>
          <w:szCs w:val="22"/>
          <w:lang w:eastAsia="en-GB" w:bidi="ar-SA"/>
        </w:rPr>
        <w:t xml:space="preserve"> </w:t>
      </w:r>
      <w:hyperlink r:id="rId38" w:history="1">
        <w:r w:rsidRPr="00F63CA8">
          <w:rPr>
            <w:rStyle w:val="Hyperlink"/>
            <w:rFonts w:cs="Arial"/>
            <w:szCs w:val="22"/>
            <w:lang w:eastAsia="en-GB" w:bidi="ar-SA"/>
          </w:rPr>
          <w:t>https://www.health.govt.nz/publication/2008-09-new-zealand-adult-nutrition-survey-data-tables</w:t>
        </w:r>
      </w:hyperlink>
      <w:r>
        <w:rPr>
          <w:rFonts w:cs="Arial"/>
          <w:szCs w:val="22"/>
          <w:lang w:eastAsia="en-GB" w:bidi="ar-SA"/>
        </w:rPr>
        <w:t xml:space="preserve"> </w:t>
      </w:r>
    </w:p>
    <w:p w14:paraId="2432E1BB" w14:textId="77777777" w:rsidR="00336FAA" w:rsidRDefault="00336FAA" w:rsidP="008E3B90">
      <w:pPr>
        <w:widowControl/>
      </w:pPr>
    </w:p>
    <w:p w14:paraId="0E8B97D8" w14:textId="03CF7DD3" w:rsidR="008E3B90" w:rsidRDefault="002234A4" w:rsidP="008E3B90">
      <w:pPr>
        <w:widowControl/>
      </w:pPr>
      <w:r w:rsidRPr="002234A4">
        <w:t>National Health and Medical Research Council (NHRMC), Australian Government Department of Health and Ageing, New Zealand Ministry of Health</w:t>
      </w:r>
      <w:r>
        <w:t xml:space="preserve"> (2006)</w:t>
      </w:r>
      <w:r w:rsidRPr="002234A4">
        <w:t>. Nutrient Reference Values for Australia and New Zealand. Canberra: National Health and Medical Research Counci</w:t>
      </w:r>
      <w:r>
        <w:t xml:space="preserve">l. </w:t>
      </w:r>
    </w:p>
    <w:p w14:paraId="4A1AB61C" w14:textId="003CACC8" w:rsidR="00161404" w:rsidRDefault="00161404" w:rsidP="008E3B90">
      <w:pPr>
        <w:widowControl/>
      </w:pPr>
    </w:p>
    <w:p w14:paraId="32BD1241" w14:textId="7C4BEA9E" w:rsidR="00161404" w:rsidRDefault="00161404" w:rsidP="008E3B90">
      <w:pPr>
        <w:widowControl/>
      </w:pPr>
      <w:r>
        <w:rPr>
          <w:rStyle w:val="cca-citation"/>
          <w:lang w:val="en"/>
        </w:rPr>
        <w:t xml:space="preserve">National Institutes of Health </w:t>
      </w:r>
      <w:r w:rsidR="00582B45">
        <w:rPr>
          <w:rStyle w:val="cca-citation"/>
          <w:lang w:val="en"/>
        </w:rPr>
        <w:t xml:space="preserve">(NIH) </w:t>
      </w:r>
      <w:r>
        <w:rPr>
          <w:rStyle w:val="cca-citation"/>
          <w:lang w:val="en"/>
        </w:rPr>
        <w:t>Office of Dietary Supplements</w:t>
      </w:r>
      <w:r w:rsidR="00582B45">
        <w:rPr>
          <w:rStyle w:val="cca-citation"/>
          <w:lang w:val="en"/>
        </w:rPr>
        <w:t xml:space="preserve"> (2021)</w:t>
      </w:r>
      <w:r>
        <w:rPr>
          <w:rStyle w:val="cca-citation"/>
          <w:lang w:val="en"/>
        </w:rPr>
        <w:t>.</w:t>
      </w:r>
      <w:r w:rsidR="00582B45">
        <w:rPr>
          <w:rStyle w:val="cca-citation"/>
          <w:i/>
          <w:iCs/>
          <w:lang w:val="en"/>
        </w:rPr>
        <w:t xml:space="preserve"> </w:t>
      </w:r>
      <w:r w:rsidR="00582B45">
        <w:rPr>
          <w:rStyle w:val="cca-citation"/>
          <w:iCs/>
          <w:lang w:val="en"/>
        </w:rPr>
        <w:t>Niacin Fact Sheet for Health Professionals</w:t>
      </w:r>
      <w:r>
        <w:rPr>
          <w:rStyle w:val="cca-citation"/>
          <w:i/>
          <w:iCs/>
          <w:lang w:val="en"/>
        </w:rPr>
        <w:t>.</w:t>
      </w:r>
      <w:r>
        <w:rPr>
          <w:rStyle w:val="cca-citation"/>
          <w:lang w:val="en"/>
        </w:rPr>
        <w:t xml:space="preserve"> National Institutes of Health</w:t>
      </w:r>
      <w:r w:rsidR="00582B45">
        <w:rPr>
          <w:rStyle w:val="cca-citation"/>
          <w:lang w:val="en"/>
        </w:rPr>
        <w:t xml:space="preserve"> </w:t>
      </w:r>
      <w:r>
        <w:rPr>
          <w:rStyle w:val="cca-citation"/>
          <w:lang w:val="en"/>
        </w:rPr>
        <w:t xml:space="preserve">Available from: </w:t>
      </w:r>
      <w:r w:rsidR="00582B45" w:rsidRPr="00582B45">
        <w:rPr>
          <w:rStyle w:val="cca-citation"/>
          <w:lang w:val="en"/>
        </w:rPr>
        <w:t>https://ods.od.nih.gov/factsheets/Niacin-HealthProfessional/#en14</w:t>
      </w:r>
    </w:p>
    <w:p w14:paraId="7E03A491" w14:textId="77777777" w:rsidR="002234A4" w:rsidRDefault="002234A4" w:rsidP="008E3B90">
      <w:pPr>
        <w:widowControl/>
      </w:pPr>
    </w:p>
    <w:p w14:paraId="131B196E" w14:textId="64D9F559" w:rsidR="00691E5A" w:rsidRDefault="00691E5A" w:rsidP="00A501A0">
      <w:pPr>
        <w:widowControl/>
      </w:pPr>
      <w:r>
        <w:t>Ratajczak J, Joffraud M, Trammell SAJ, Ras R, Canela N, Boutant M, Kulkarni SS, Rodrigues M, Redpath P, Migaud ME, Auwerx J, Yanes O, Brenner C and Cant</w:t>
      </w:r>
      <w:r>
        <w:rPr>
          <w:rFonts w:cs="Arial"/>
        </w:rPr>
        <w:t>ó</w:t>
      </w:r>
      <w:r>
        <w:t xml:space="preserve"> C (2016) NRK1 controls nicotinamide mononucleotide and nicotinamide riboside metabolism in mammalian cells. Nature Communications 1:13103 </w:t>
      </w:r>
      <w:hyperlink r:id="rId39" w:history="1">
        <w:r w:rsidRPr="00D456E3">
          <w:rPr>
            <w:rStyle w:val="Hyperlink"/>
          </w:rPr>
          <w:t>https://www.nature.com/articles/ncomms13103</w:t>
        </w:r>
      </w:hyperlink>
      <w:r>
        <w:t xml:space="preserve"> </w:t>
      </w:r>
    </w:p>
    <w:p w14:paraId="690CF26C" w14:textId="77777777" w:rsidR="00691E5A" w:rsidRDefault="00691E5A" w:rsidP="00A501A0">
      <w:pPr>
        <w:widowControl/>
      </w:pPr>
    </w:p>
    <w:p w14:paraId="4FC5DF17" w14:textId="26719110" w:rsidR="008E3B90" w:rsidRDefault="00A501A0" w:rsidP="00A501A0">
      <w:pPr>
        <w:widowControl/>
      </w:pPr>
      <w:r>
        <w:t>Remie CEM, Roumans KHM, Moonen MPB, Connell NJ, Havekes B, Mevenkamp J, Lindeboom L, de Wit VHW, van de Weijer T, Aarts</w:t>
      </w:r>
      <w:r w:rsidR="00404FD2">
        <w:t xml:space="preserve"> SABM</w:t>
      </w:r>
      <w:r>
        <w:t>, Lutgens</w:t>
      </w:r>
      <w:r w:rsidR="00404FD2">
        <w:t xml:space="preserve"> E</w:t>
      </w:r>
      <w:r>
        <w:t>,</w:t>
      </w:r>
      <w:r w:rsidR="00404FD2">
        <w:t xml:space="preserve"> </w:t>
      </w:r>
      <w:r>
        <w:t>Schomakers</w:t>
      </w:r>
      <w:r w:rsidR="00404FD2">
        <w:t xml:space="preserve"> BV</w:t>
      </w:r>
      <w:r>
        <w:t>, Elfrink</w:t>
      </w:r>
      <w:r w:rsidR="00404FD2">
        <w:t xml:space="preserve"> HL</w:t>
      </w:r>
      <w:r>
        <w:t>, Zapata-Pérez</w:t>
      </w:r>
      <w:r w:rsidR="00404FD2">
        <w:t xml:space="preserve"> R</w:t>
      </w:r>
      <w:r>
        <w:t>,6 Houtkooper</w:t>
      </w:r>
      <w:r w:rsidR="00404FD2">
        <w:t xml:space="preserve"> RH</w:t>
      </w:r>
      <w:r>
        <w:t>, Johan Auwerx</w:t>
      </w:r>
      <w:r w:rsidR="00404FD2">
        <w:t xml:space="preserve"> J</w:t>
      </w:r>
      <w:r>
        <w:t>, Hoeks</w:t>
      </w:r>
      <w:r w:rsidR="00404FD2">
        <w:t xml:space="preserve"> J</w:t>
      </w:r>
      <w:r>
        <w:t>, Schrauwen-</w:t>
      </w:r>
      <w:r w:rsidR="00E143DC">
        <w:t xml:space="preserve"> </w:t>
      </w:r>
    </w:p>
    <w:p w14:paraId="67DD3EC5" w14:textId="76F4EC88" w:rsidR="003B76FF" w:rsidRDefault="003B76FF" w:rsidP="00A501A0">
      <w:pPr>
        <w:widowControl/>
      </w:pPr>
    </w:p>
    <w:p w14:paraId="6D9339B1" w14:textId="77777777" w:rsidR="003B76FF" w:rsidRPr="00BB3688" w:rsidRDefault="003B76FF" w:rsidP="003B76FF">
      <w:pPr>
        <w:rPr>
          <w:rFonts w:cs="Arial"/>
        </w:rPr>
      </w:pPr>
      <w:r>
        <w:rPr>
          <w:rFonts w:cs="Arial"/>
        </w:rPr>
        <w:t>Rowen JW and</w:t>
      </w:r>
      <w:r w:rsidRPr="00BB3688">
        <w:rPr>
          <w:rFonts w:cs="Arial"/>
        </w:rPr>
        <w:t xml:space="preserve"> Kornberg A (1951) The phosphorolysis of nicotinamide riboside. </w:t>
      </w:r>
      <w:r w:rsidRPr="00BB3688">
        <w:rPr>
          <w:rFonts w:cs="Arial"/>
          <w:iCs/>
        </w:rPr>
        <w:t>Journal of Biological Chemistry</w:t>
      </w:r>
      <w:r w:rsidRPr="00BB3688">
        <w:rPr>
          <w:rFonts w:cs="Arial"/>
        </w:rPr>
        <w:t xml:space="preserve"> 193(2):497-507</w:t>
      </w:r>
    </w:p>
    <w:p w14:paraId="44192B9E" w14:textId="77777777" w:rsidR="003B76FF" w:rsidRPr="00BB3688" w:rsidRDefault="003B76FF" w:rsidP="003B76FF">
      <w:pPr>
        <w:rPr>
          <w:rFonts w:cs="Arial"/>
          <w:lang w:val="en"/>
        </w:rPr>
      </w:pPr>
    </w:p>
    <w:p w14:paraId="14AB3108" w14:textId="30D06ADB" w:rsidR="003B76FF" w:rsidRPr="00BB3688" w:rsidRDefault="003B76FF" w:rsidP="003B76FF">
      <w:pPr>
        <w:rPr>
          <w:rFonts w:cs="Arial"/>
        </w:rPr>
      </w:pPr>
      <w:r w:rsidRPr="00BB3688">
        <w:rPr>
          <w:rFonts w:cs="Arial"/>
        </w:rPr>
        <w:t>Rucker RB, Suttie JW</w:t>
      </w:r>
      <w:r w:rsidR="002F7AB3">
        <w:rPr>
          <w:rFonts w:cs="Arial"/>
        </w:rPr>
        <w:t xml:space="preserve"> and</w:t>
      </w:r>
      <w:r w:rsidRPr="00BB3688">
        <w:rPr>
          <w:rFonts w:cs="Arial"/>
        </w:rPr>
        <w:t xml:space="preserve"> McCormick DB (2001) </w:t>
      </w:r>
      <w:r w:rsidRPr="00BB3688">
        <w:rPr>
          <w:rFonts w:cs="Arial"/>
          <w:iCs/>
        </w:rPr>
        <w:t>Handbook of vitamins</w:t>
      </w:r>
      <w:r w:rsidRPr="00BB3688">
        <w:rPr>
          <w:rFonts w:cs="Arial"/>
        </w:rPr>
        <w:t>. C</w:t>
      </w:r>
      <w:r w:rsidR="004D516A">
        <w:rPr>
          <w:rFonts w:cs="Arial"/>
        </w:rPr>
        <w:t>RC</w:t>
      </w:r>
      <w:r w:rsidRPr="00BB3688">
        <w:rPr>
          <w:rFonts w:cs="Arial"/>
        </w:rPr>
        <w:t xml:space="preserve"> Press.</w:t>
      </w:r>
    </w:p>
    <w:p w14:paraId="2D23075B" w14:textId="77777777" w:rsidR="003B76FF" w:rsidRDefault="003B76FF" w:rsidP="00A501A0">
      <w:pPr>
        <w:widowControl/>
      </w:pPr>
    </w:p>
    <w:p w14:paraId="58E3E056" w14:textId="77777777" w:rsidR="00D956D6" w:rsidRPr="00D956D6" w:rsidRDefault="00D956D6" w:rsidP="00D956D6">
      <w:pPr>
        <w:tabs>
          <w:tab w:val="left" w:pos="929"/>
        </w:tabs>
        <w:rPr>
          <w:rFonts w:eastAsia="Calibri"/>
          <w:color w:val="222222"/>
          <w:szCs w:val="22"/>
          <w:lang w:bidi="ar-SA"/>
        </w:rPr>
      </w:pPr>
      <w:r w:rsidRPr="00D956D6">
        <w:rPr>
          <w:rFonts w:eastAsia="Calibri"/>
          <w:color w:val="222222"/>
          <w:szCs w:val="22"/>
          <w:lang w:bidi="ar-SA"/>
        </w:rPr>
        <w:t>Sebrell WH and Butler RE (1938) A reaction to the oral administration of nicotinic acid. Journal of the American Medical Association 111(25):2286-7.</w:t>
      </w:r>
    </w:p>
    <w:p w14:paraId="35D2BDCA" w14:textId="77777777" w:rsidR="00D956D6" w:rsidRDefault="00D956D6" w:rsidP="007065FF">
      <w:pPr>
        <w:widowControl/>
      </w:pPr>
    </w:p>
    <w:p w14:paraId="6381126C" w14:textId="5FE02AB1" w:rsidR="003522BF" w:rsidRDefault="003522BF" w:rsidP="007065FF">
      <w:pPr>
        <w:widowControl/>
      </w:pPr>
      <w:r>
        <w:t>Serrano A, Asnani-Kishnani M, Couturier C, Astier J, Palou A, Landrier J-F, Ribot J and Bonet ML (2020) DNA methylation changes are associated with the programming of white adipose tissue browning features by resveratrol and nicotinamide riboside neonatal supplementations in mice. Nutrients 12, 461</w:t>
      </w:r>
      <w:r w:rsidRPr="003522BF">
        <w:t xml:space="preserve"> </w:t>
      </w:r>
      <w:hyperlink r:id="rId40" w:history="1">
        <w:r w:rsidRPr="00D06D7C">
          <w:rPr>
            <w:rStyle w:val="Hyperlink"/>
          </w:rPr>
          <w:t>https://www.mdpi.com/2072-6643/12/2/461</w:t>
        </w:r>
      </w:hyperlink>
      <w:r>
        <w:t xml:space="preserve"> </w:t>
      </w:r>
    </w:p>
    <w:p w14:paraId="75D2DE0E" w14:textId="77777777" w:rsidR="003522BF" w:rsidRDefault="003522BF" w:rsidP="007065FF">
      <w:pPr>
        <w:widowControl/>
      </w:pPr>
    </w:p>
    <w:p w14:paraId="71CC72C2" w14:textId="0B1D159D" w:rsidR="009D63FD" w:rsidRDefault="009D63FD" w:rsidP="007065FF">
      <w:pPr>
        <w:widowControl/>
      </w:pPr>
      <w:r>
        <w:t xml:space="preserve">Shi W, Hegeman MA, Doncheva A, Bekkenkamp –Grovenstein M, de Boer VCJ and Keijer J (2019). High dose of dietary nicotinamide riboside induces glucose intolerance and white adipose tissue dysfunction in mice fed a mildly obesogenic diet. Nutrients 11, 2439 </w:t>
      </w:r>
      <w:hyperlink r:id="rId41" w:history="1">
        <w:r w:rsidRPr="00D06D7C">
          <w:rPr>
            <w:rStyle w:val="Hyperlink"/>
          </w:rPr>
          <w:t>https://www.mdpi.com/2072-6643/11/10/2439</w:t>
        </w:r>
      </w:hyperlink>
      <w:r>
        <w:t xml:space="preserve"> </w:t>
      </w:r>
    </w:p>
    <w:p w14:paraId="4774A648" w14:textId="0F72DEBF" w:rsidR="00EA7280" w:rsidRDefault="00EA7280" w:rsidP="007065FF">
      <w:pPr>
        <w:widowControl/>
      </w:pPr>
    </w:p>
    <w:p w14:paraId="78EE38BB" w14:textId="5D592D87" w:rsidR="00AE4BEC" w:rsidRPr="00AE4BEC" w:rsidRDefault="00AE4BEC" w:rsidP="00AE4BEC">
      <w:pPr>
        <w:tabs>
          <w:tab w:val="left" w:pos="929"/>
        </w:tabs>
        <w:rPr>
          <w:rFonts w:eastAsia="Calibri"/>
          <w:color w:val="222222"/>
          <w:szCs w:val="22"/>
          <w:lang w:bidi="ar-SA"/>
        </w:rPr>
      </w:pPr>
      <w:r w:rsidRPr="00AE4BEC">
        <w:rPr>
          <w:rFonts w:eastAsia="Calibri"/>
          <w:color w:val="222222"/>
          <w:szCs w:val="22"/>
          <w:lang w:bidi="ar-SA"/>
        </w:rPr>
        <w:t>Spies TD, Bean WB</w:t>
      </w:r>
      <w:r w:rsidR="002F7AB3">
        <w:rPr>
          <w:rFonts w:eastAsia="Calibri"/>
          <w:color w:val="222222"/>
          <w:szCs w:val="22"/>
          <w:lang w:bidi="ar-SA"/>
        </w:rPr>
        <w:t xml:space="preserve"> and</w:t>
      </w:r>
      <w:r w:rsidRPr="00AE4BEC">
        <w:rPr>
          <w:rFonts w:eastAsia="Calibri"/>
          <w:color w:val="222222"/>
          <w:szCs w:val="22"/>
          <w:lang w:bidi="ar-SA"/>
        </w:rPr>
        <w:t xml:space="preserve"> Stone RE (1938) The treatment of subclinical and classic pellagra: use of nicotinic acid, nicotinic acid amide and sodium nicotinate, with special reference to the vasodilator action and the effect on mental symptoms. Journal of the American Medical Association 111(7):584-92.</w:t>
      </w:r>
    </w:p>
    <w:p w14:paraId="6DE33D30" w14:textId="77777777" w:rsidR="00AE4BEC" w:rsidRDefault="00AE4BEC" w:rsidP="007065FF">
      <w:pPr>
        <w:widowControl/>
        <w:rPr>
          <w:color w:val="222222"/>
        </w:rPr>
      </w:pPr>
    </w:p>
    <w:p w14:paraId="44D7F5CB" w14:textId="4BFCA6A9" w:rsidR="00EA7280" w:rsidRDefault="00EA7280" w:rsidP="007065FF">
      <w:pPr>
        <w:widowControl/>
      </w:pPr>
      <w:r>
        <w:rPr>
          <w:color w:val="222222"/>
        </w:rPr>
        <w:t>Tempel W, Rabeh WM, Bogan KL, Belenky P, Wojcik M, Seidle HF, Nedyalkova L, Yang T, Sauve AA, Park HW</w:t>
      </w:r>
      <w:r w:rsidR="002F7AB3">
        <w:rPr>
          <w:color w:val="222222"/>
        </w:rPr>
        <w:t xml:space="preserve"> and</w:t>
      </w:r>
      <w:r>
        <w:rPr>
          <w:color w:val="222222"/>
        </w:rPr>
        <w:t xml:space="preserve"> Brenner C (2007). Nicotinamide riboside kinase structures reveal new pathways to NAD</w:t>
      </w:r>
      <w:r w:rsidRPr="00EA7280">
        <w:rPr>
          <w:color w:val="222222"/>
          <w:vertAlign w:val="superscript"/>
        </w:rPr>
        <w:t>+</w:t>
      </w:r>
      <w:r>
        <w:rPr>
          <w:color w:val="222222"/>
        </w:rPr>
        <w:t>. P</w:t>
      </w:r>
      <w:r w:rsidR="004D516A">
        <w:rPr>
          <w:color w:val="222222"/>
        </w:rPr>
        <w:t>LOS</w:t>
      </w:r>
      <w:r>
        <w:rPr>
          <w:color w:val="222222"/>
        </w:rPr>
        <w:t xml:space="preserve"> Biol</w:t>
      </w:r>
      <w:r w:rsidR="004D516A">
        <w:rPr>
          <w:color w:val="222222"/>
        </w:rPr>
        <w:t>ogy</w:t>
      </w:r>
      <w:r>
        <w:rPr>
          <w:color w:val="222222"/>
        </w:rPr>
        <w:t xml:space="preserve"> 5(10):e263.</w:t>
      </w:r>
    </w:p>
    <w:p w14:paraId="40CF20C3" w14:textId="77777777" w:rsidR="009D63FD" w:rsidRDefault="009D63FD" w:rsidP="007065FF">
      <w:pPr>
        <w:widowControl/>
      </w:pPr>
    </w:p>
    <w:p w14:paraId="2B477397" w14:textId="1794BDC7" w:rsidR="00B24D2A" w:rsidRDefault="00B24D2A" w:rsidP="007065FF">
      <w:pPr>
        <w:widowControl/>
      </w:pPr>
      <w:r>
        <w:t>Trammell SAJ, Schmidt MS, Weidermann BJ, Redpath P, Jaksch F, Dellinger RW, Li Z, Migaud ME and Brenner C (2016). Nicotinamide riboside is uniquely and orally bioavailable in mice and humans. Nature Communications 17: 12948</w:t>
      </w:r>
      <w:r w:rsidR="00813FEB">
        <w:t xml:space="preserve"> </w:t>
      </w:r>
      <w:hyperlink r:id="rId42" w:history="1">
        <w:r w:rsidR="00813FEB" w:rsidRPr="00873B16">
          <w:rPr>
            <w:rStyle w:val="Hyperlink"/>
          </w:rPr>
          <w:t>https://www.nature.com/articles/ncomms12948</w:t>
        </w:r>
      </w:hyperlink>
      <w:r w:rsidR="00813FEB">
        <w:t xml:space="preserve"> </w:t>
      </w:r>
    </w:p>
    <w:p w14:paraId="4041488B" w14:textId="06DCD464" w:rsidR="00084E5E" w:rsidRDefault="00084E5E" w:rsidP="007065FF">
      <w:pPr>
        <w:widowControl/>
      </w:pPr>
    </w:p>
    <w:p w14:paraId="1DD28F41" w14:textId="7E36D599" w:rsidR="00084E5E" w:rsidRPr="00F21271" w:rsidRDefault="00084E5E" w:rsidP="00084E5E">
      <w:pPr>
        <w:rPr>
          <w:szCs w:val="22"/>
          <w:lang w:val="en-AU"/>
        </w:rPr>
      </w:pPr>
      <w:r w:rsidRPr="00F21271">
        <w:rPr>
          <w:szCs w:val="22"/>
          <w:lang w:val="en-AU"/>
        </w:rPr>
        <w:t>US</w:t>
      </w:r>
      <w:r w:rsidR="00366F62" w:rsidRPr="00F21271">
        <w:rPr>
          <w:szCs w:val="22"/>
          <w:lang w:val="en-AU"/>
        </w:rPr>
        <w:t xml:space="preserve"> </w:t>
      </w:r>
      <w:r w:rsidRPr="00F21271">
        <w:rPr>
          <w:szCs w:val="22"/>
          <w:lang w:val="en-AU"/>
        </w:rPr>
        <w:t>FDA (201</w:t>
      </w:r>
      <w:r w:rsidR="00366F62" w:rsidRPr="00F21271">
        <w:rPr>
          <w:szCs w:val="22"/>
          <w:lang w:val="en-AU"/>
        </w:rPr>
        <w:t>6</w:t>
      </w:r>
      <w:r w:rsidRPr="00F21271">
        <w:rPr>
          <w:szCs w:val="22"/>
          <w:lang w:val="en-AU"/>
        </w:rPr>
        <w:t xml:space="preserve">). GRAS Notices Inventory. Washington (DC): U.S. Food and Drug Administration (U.S FDA). Available at  </w:t>
      </w:r>
      <w:hyperlink r:id="rId43" w:history="1">
        <w:r w:rsidRPr="00F21271">
          <w:rPr>
            <w:rStyle w:val="Hyperlink"/>
            <w:szCs w:val="22"/>
            <w:lang w:val="en-AU"/>
          </w:rPr>
          <w:t>https://www.cfsanappsexternal.fda.gov/scripts/fdcc/index.cfm?set=GRASNotices</w:t>
        </w:r>
      </w:hyperlink>
    </w:p>
    <w:p w14:paraId="31CE7360" w14:textId="77777777" w:rsidR="00084E5E" w:rsidRPr="00F21271" w:rsidRDefault="00084E5E" w:rsidP="00084E5E">
      <w:pPr>
        <w:rPr>
          <w:szCs w:val="22"/>
          <w:lang w:val="en-AU"/>
        </w:rPr>
      </w:pPr>
      <w:r w:rsidRPr="00F21271">
        <w:rPr>
          <w:szCs w:val="22"/>
          <w:lang w:val="en-AU"/>
        </w:rPr>
        <w:t>Accessed 3 February 2021.</w:t>
      </w:r>
    </w:p>
    <w:p w14:paraId="607FCCAC" w14:textId="4D4339F2" w:rsidR="003B76FF" w:rsidRDefault="003B76FF" w:rsidP="007065FF">
      <w:pPr>
        <w:widowControl/>
      </w:pPr>
    </w:p>
    <w:p w14:paraId="0A934E61" w14:textId="7EB74432" w:rsidR="003B76FF" w:rsidRDefault="003B76FF" w:rsidP="003B76FF">
      <w:r w:rsidRPr="00BB3688">
        <w:t xml:space="preserve">Wahlqvist ML (2002) </w:t>
      </w:r>
      <w:r w:rsidRPr="00BB3688">
        <w:rPr>
          <w:iCs/>
        </w:rPr>
        <w:t>Food and nutrition: Australasia, Asia and the Pacific</w:t>
      </w:r>
      <w:r w:rsidRPr="00BB3688">
        <w:t xml:space="preserve"> (No. Ed. 2). Allen &amp; Unwin.</w:t>
      </w:r>
    </w:p>
    <w:p w14:paraId="57C03061" w14:textId="45127213" w:rsidR="00AE4BEC" w:rsidRDefault="00AE4BEC" w:rsidP="003B76FF">
      <w:pPr>
        <w:rPr>
          <w:lang w:val="en-AU"/>
        </w:rPr>
      </w:pPr>
    </w:p>
    <w:p w14:paraId="22BE57C8" w14:textId="63986FB4" w:rsidR="00AE4BEC" w:rsidRPr="00AE4BEC" w:rsidRDefault="00AE4BEC" w:rsidP="00AE4BEC">
      <w:pPr>
        <w:widowControl/>
        <w:tabs>
          <w:tab w:val="left" w:pos="929"/>
        </w:tabs>
        <w:rPr>
          <w:rFonts w:eastAsia="Calibri"/>
          <w:szCs w:val="22"/>
          <w:lang w:bidi="ar-SA"/>
        </w:rPr>
      </w:pPr>
      <w:r w:rsidRPr="00AE4BEC">
        <w:rPr>
          <w:rFonts w:eastAsia="Calibri"/>
          <w:color w:val="222222"/>
          <w:szCs w:val="22"/>
          <w:lang w:bidi="ar-SA"/>
        </w:rPr>
        <w:t>Wise A, Foord SM, Fraser NJ, Barnes AA, Elshourbagy N, Eilert M, Ignar DM, Mur</w:t>
      </w:r>
      <w:r>
        <w:rPr>
          <w:rFonts w:eastAsia="Calibri"/>
          <w:color w:val="222222"/>
          <w:szCs w:val="22"/>
          <w:lang w:bidi="ar-SA"/>
        </w:rPr>
        <w:t xml:space="preserve">dock PR, Steplewski K, Green A and </w:t>
      </w:r>
      <w:r w:rsidRPr="00AE4BEC">
        <w:rPr>
          <w:rFonts w:eastAsia="Calibri"/>
          <w:color w:val="222222"/>
          <w:szCs w:val="22"/>
          <w:lang w:bidi="ar-SA"/>
        </w:rPr>
        <w:t>Brown AJ</w:t>
      </w:r>
      <w:r>
        <w:rPr>
          <w:rFonts w:eastAsia="Calibri"/>
          <w:color w:val="222222"/>
          <w:szCs w:val="22"/>
          <w:lang w:bidi="ar-SA"/>
        </w:rPr>
        <w:t xml:space="preserve"> (2003)</w:t>
      </w:r>
      <w:r w:rsidRPr="00AE4BEC">
        <w:rPr>
          <w:rFonts w:eastAsia="Calibri"/>
          <w:color w:val="222222"/>
          <w:szCs w:val="22"/>
          <w:lang w:bidi="ar-SA"/>
        </w:rPr>
        <w:t>. Molecular identification of high and low affinity receptors for nicotinic acid. Journal of Biological Chemistry278(11):9869-74.</w:t>
      </w:r>
    </w:p>
    <w:p w14:paraId="6FAF2F05" w14:textId="77777777" w:rsidR="00AE4BEC" w:rsidRPr="00BB3688" w:rsidRDefault="00AE4BEC" w:rsidP="003B76FF">
      <w:pPr>
        <w:rPr>
          <w:lang w:val="en-AU"/>
        </w:rPr>
      </w:pPr>
    </w:p>
    <w:p w14:paraId="5C941242" w14:textId="5B65779E" w:rsidR="00B24D2A" w:rsidRDefault="00B24D2A" w:rsidP="007065FF">
      <w:pPr>
        <w:widowControl/>
      </w:pPr>
    </w:p>
    <w:p w14:paraId="3D7B3918" w14:textId="18AD4D23" w:rsidR="00773AF0" w:rsidRDefault="008E3B90" w:rsidP="007065FF">
      <w:pPr>
        <w:widowControl/>
      </w:pPr>
      <w:r>
        <w:t xml:space="preserve">Woodfolk </w:t>
      </w:r>
      <w:r w:rsidR="007065FF">
        <w:t>JA, Commins SP, Schuyler AJ, Erwin EA</w:t>
      </w:r>
      <w:r w:rsidR="002F7AB3">
        <w:t xml:space="preserve"> and</w:t>
      </w:r>
      <w:r w:rsidR="007065FF">
        <w:t xml:space="preserve"> Platts-Mills TAE</w:t>
      </w:r>
      <w:r>
        <w:t xml:space="preserve"> </w:t>
      </w:r>
      <w:r w:rsidR="007065FF">
        <w:t>(</w:t>
      </w:r>
      <w:r>
        <w:t>2015</w:t>
      </w:r>
      <w:r w:rsidR="007065FF">
        <w:t xml:space="preserve">) Allergens, sources, particles, and molecules: Why do we make IgE responses? </w:t>
      </w:r>
      <w:r w:rsidR="007065FF" w:rsidRPr="007065FF">
        <w:t>Allergology International</w:t>
      </w:r>
      <w:r w:rsidR="007065FF">
        <w:t xml:space="preserve"> </w:t>
      </w:r>
      <w:r w:rsidR="007065FF" w:rsidRPr="007065FF">
        <w:t xml:space="preserve">64(4):295-303. </w:t>
      </w:r>
      <w:hyperlink r:id="rId44" w:history="1">
        <w:r w:rsidR="009D07FE" w:rsidRPr="000051CB">
          <w:rPr>
            <w:rStyle w:val="Hyperlink"/>
          </w:rPr>
          <w:t>https://www.sciencedirect.com/science/article/pii/S1323893015001185</w:t>
        </w:r>
      </w:hyperlink>
      <w:r w:rsidR="009D07FE">
        <w:t xml:space="preserve"> </w:t>
      </w:r>
    </w:p>
    <w:p w14:paraId="65CA0D5A" w14:textId="77777777" w:rsidR="00773AF0" w:rsidRDefault="00773AF0" w:rsidP="007065FF">
      <w:pPr>
        <w:widowControl/>
      </w:pPr>
    </w:p>
    <w:p w14:paraId="422F46C5" w14:textId="77777777" w:rsidR="003B76FF" w:rsidRDefault="00773AF0" w:rsidP="007065FF">
      <w:pPr>
        <w:widowControl/>
      </w:pPr>
      <w:r>
        <w:t>Yoshino J, Baur JA and Imai S-I (2018) NAD</w:t>
      </w:r>
      <w:r>
        <w:rPr>
          <w:vertAlign w:val="superscript"/>
        </w:rPr>
        <w:t xml:space="preserve">+ </w:t>
      </w:r>
      <w:r>
        <w:t>intermediates: The biology and therapeutic potential of NMN and NR. Cell Metabolism 27(3): 513-528</w:t>
      </w:r>
    </w:p>
    <w:p w14:paraId="6DB544EF" w14:textId="77777777" w:rsidR="003B76FF" w:rsidRDefault="003B76FF" w:rsidP="007065FF">
      <w:pPr>
        <w:widowControl/>
      </w:pPr>
    </w:p>
    <w:p w14:paraId="724BD912" w14:textId="77777777" w:rsidR="00463F16" w:rsidRPr="0029778E" w:rsidRDefault="00463F16" w:rsidP="0029778E">
      <w:pPr>
        <w:rPr>
          <w:lang w:bidi="ar-SA"/>
        </w:rPr>
      </w:pPr>
      <w:bookmarkStart w:id="816" w:name="_Toc65509097"/>
      <w:bookmarkStart w:id="817" w:name="_Toc65578834"/>
      <w:bookmarkStart w:id="818" w:name="_Toc65587228"/>
      <w:bookmarkStart w:id="819" w:name="_Toc65587244"/>
      <w:bookmarkStart w:id="820" w:name="_Toc65682808"/>
      <w:bookmarkEnd w:id="816"/>
      <w:bookmarkEnd w:id="817"/>
      <w:bookmarkEnd w:id="818"/>
      <w:bookmarkEnd w:id="819"/>
      <w:bookmarkEnd w:id="820"/>
    </w:p>
    <w:p w14:paraId="6F0A1779" w14:textId="77777777" w:rsidR="00CA5D21" w:rsidRDefault="00CA5D21">
      <w:pPr>
        <w:widowControl/>
        <w:rPr>
          <w:rFonts w:cs="Arial"/>
          <w:b/>
          <w:bCs/>
          <w:sz w:val="28"/>
          <w:szCs w:val="22"/>
          <w:lang w:bidi="ar-SA"/>
        </w:rPr>
      </w:pPr>
      <w:bookmarkStart w:id="821" w:name="_Ref50734129"/>
      <w:bookmarkStart w:id="822" w:name="_Ref50734157"/>
      <w:bookmarkStart w:id="823" w:name="_Ref50735084"/>
      <w:bookmarkStart w:id="824" w:name="_Toc49184855"/>
      <w:bookmarkStart w:id="825" w:name="_Toc50478531"/>
      <w:bookmarkStart w:id="826" w:name="_Toc50546937"/>
      <w:bookmarkStart w:id="827" w:name="_Toc50559156"/>
      <w:bookmarkStart w:id="828" w:name="_Toc50622414"/>
      <w:bookmarkStart w:id="829" w:name="_Toc50635512"/>
      <w:bookmarkStart w:id="830" w:name="_Toc51009523"/>
      <w:bookmarkStart w:id="831" w:name="_Toc51011968"/>
      <w:bookmarkStart w:id="832" w:name="_Toc51257186"/>
      <w:bookmarkStart w:id="833" w:name="_Toc51326875"/>
      <w:bookmarkStart w:id="834" w:name="_Toc51330290"/>
      <w:bookmarkStart w:id="835" w:name="_Toc52201122"/>
      <w:bookmarkStart w:id="836" w:name="_Toc54775687"/>
      <w:bookmarkStart w:id="837" w:name="_Toc54776677"/>
      <w:bookmarkStart w:id="838" w:name="_Toc65509098"/>
      <w:bookmarkStart w:id="839" w:name="_Toc65578835"/>
      <w:bookmarkStart w:id="840" w:name="_Toc65587229"/>
      <w:bookmarkStart w:id="841" w:name="_Toc65587245"/>
      <w:bookmarkStart w:id="842" w:name="_Toc65682809"/>
      <w:bookmarkStart w:id="843" w:name="_Toc65764349"/>
      <w:bookmarkStart w:id="844" w:name="_Toc65764682"/>
      <w:r>
        <w:br w:type="page"/>
      </w:r>
    </w:p>
    <w:p w14:paraId="35A617BB" w14:textId="737EE2BB" w:rsidR="00C901CF" w:rsidRPr="00D81787" w:rsidRDefault="00C901CF" w:rsidP="00D81787">
      <w:pPr>
        <w:pStyle w:val="FSCh1Chap"/>
        <w:ind w:left="426" w:hanging="426"/>
        <w:rPr>
          <w:sz w:val="32"/>
          <w:szCs w:val="28"/>
        </w:rPr>
      </w:pPr>
      <w:bookmarkStart w:id="845" w:name="_Toc65841251"/>
      <w:bookmarkStart w:id="846" w:name="_Toc66443264"/>
      <w:bookmarkStart w:id="847" w:name="_Toc66436820"/>
      <w:bookmarkStart w:id="848" w:name="_Toc66458172"/>
      <w:bookmarkStart w:id="849" w:name="_Toc66451446"/>
      <w:bookmarkStart w:id="850" w:name="_Toc66458839"/>
      <w:bookmarkStart w:id="851" w:name="_Toc66458972"/>
      <w:bookmarkStart w:id="852" w:name="_Toc66461667"/>
      <w:bookmarkStart w:id="853" w:name="_Toc69899776"/>
      <w:r w:rsidRPr="00D81787">
        <w:rPr>
          <w:sz w:val="32"/>
          <w:szCs w:val="28"/>
        </w:rPr>
        <w:lastRenderedPageBreak/>
        <w:t xml:space="preserve">Appendix </w:t>
      </w:r>
      <w:r w:rsidR="00D14B95" w:rsidRPr="00D81787">
        <w:rPr>
          <w:sz w:val="32"/>
          <w:szCs w:val="28"/>
        </w:rPr>
        <w:fldChar w:fldCharType="begin"/>
      </w:r>
      <w:r w:rsidR="00D14B95" w:rsidRPr="00D81787">
        <w:rPr>
          <w:sz w:val="32"/>
          <w:szCs w:val="28"/>
        </w:rPr>
        <w:instrText xml:space="preserve"> SEQ Appendix \* ARABIC </w:instrText>
      </w:r>
      <w:r w:rsidR="00D14B95" w:rsidRPr="00D81787">
        <w:rPr>
          <w:sz w:val="32"/>
          <w:szCs w:val="28"/>
        </w:rPr>
        <w:fldChar w:fldCharType="separate"/>
      </w:r>
      <w:r w:rsidR="004B22D8" w:rsidRPr="00D81787">
        <w:rPr>
          <w:sz w:val="32"/>
          <w:szCs w:val="28"/>
        </w:rPr>
        <w:t>1</w:t>
      </w:r>
      <w:r w:rsidR="00D14B95" w:rsidRPr="00D81787">
        <w:rPr>
          <w:sz w:val="32"/>
          <w:szCs w:val="28"/>
        </w:rPr>
        <w:fldChar w:fldCharType="end"/>
      </w:r>
      <w:bookmarkEnd w:id="821"/>
      <w:bookmarkEnd w:id="822"/>
      <w:bookmarkEnd w:id="823"/>
      <w:r w:rsidRPr="00D81787">
        <w:rPr>
          <w:sz w:val="32"/>
          <w:szCs w:val="28"/>
        </w:rPr>
        <w:t>:</w:t>
      </w:r>
      <w:bookmarkEnd w:id="824"/>
      <w:r w:rsidRPr="00D81787">
        <w:rPr>
          <w:sz w:val="32"/>
          <w:szCs w:val="28"/>
        </w:rPr>
        <w:t xml:space="preserve"> </w:t>
      </w:r>
      <w:r w:rsidR="00A34847" w:rsidRPr="00D81787">
        <w:rPr>
          <w:sz w:val="32"/>
          <w:szCs w:val="28"/>
        </w:rPr>
        <w:t>Usual daily intake of niacin equivalent from foods and proportion of niacin equivalent from</w:t>
      </w:r>
      <w:r w:rsidRPr="00D81787">
        <w:rPr>
          <w:sz w:val="32"/>
          <w:szCs w:val="28"/>
        </w:rPr>
        <w:t xml:space="preserve"> food groups for Australia and New Zealand</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3FE9280A" w14:textId="1F54306D" w:rsidR="00C901CF" w:rsidRDefault="00A34847" w:rsidP="00C901CF">
      <w:pPr>
        <w:rPr>
          <w:lang w:bidi="ar-SA"/>
        </w:rPr>
      </w:pPr>
      <w:r>
        <w:rPr>
          <w:lang w:bidi="ar-SA"/>
        </w:rPr>
        <w:t>The</w:t>
      </w:r>
      <w:r w:rsidR="00C901CF">
        <w:rPr>
          <w:lang w:bidi="ar-SA"/>
        </w:rPr>
        <w:t xml:space="preserve"> </w:t>
      </w:r>
      <w:r>
        <w:rPr>
          <w:lang w:bidi="ar-SA"/>
        </w:rPr>
        <w:t xml:space="preserve">usual daily intake of niacin equivalent from food is </w:t>
      </w:r>
      <w:r w:rsidR="00C901CF">
        <w:rPr>
          <w:lang w:bidi="ar-SA"/>
        </w:rPr>
        <w:t xml:space="preserve">provided in the </w:t>
      </w:r>
      <w:r w:rsidR="00C76348" w:rsidRPr="00C76348">
        <w:rPr>
          <w:b/>
          <w:lang w:bidi="ar-SA"/>
        </w:rPr>
        <w:t>Table A1.1</w:t>
      </w:r>
      <w:r w:rsidR="00C76348">
        <w:rPr>
          <w:lang w:bidi="ar-SA"/>
        </w:rPr>
        <w:t xml:space="preserve"> </w:t>
      </w:r>
      <w:r w:rsidR="00AD679E">
        <w:rPr>
          <w:lang w:bidi="ar-SA"/>
        </w:rPr>
        <w:t xml:space="preserve">for Australia and </w:t>
      </w:r>
      <w:r w:rsidR="00AD679E" w:rsidRPr="00FE6FC6">
        <w:rPr>
          <w:b/>
          <w:lang w:bidi="ar-SA"/>
        </w:rPr>
        <w:t>Table</w:t>
      </w:r>
      <w:r w:rsidR="008E1F35" w:rsidRPr="00FE6FC6">
        <w:rPr>
          <w:b/>
          <w:lang w:bidi="ar-SA"/>
        </w:rPr>
        <w:t>s A1.2</w:t>
      </w:r>
      <w:r w:rsidR="008E1F35">
        <w:rPr>
          <w:lang w:bidi="ar-SA"/>
        </w:rPr>
        <w:t xml:space="preserve"> and </w:t>
      </w:r>
      <w:r w:rsidR="008E1F35" w:rsidRPr="00FE6FC6">
        <w:rPr>
          <w:b/>
          <w:lang w:bidi="ar-SA"/>
        </w:rPr>
        <w:t>A1.3</w:t>
      </w:r>
      <w:r w:rsidR="00AD679E">
        <w:rPr>
          <w:lang w:bidi="ar-SA"/>
        </w:rPr>
        <w:t xml:space="preserve"> for New Zealand.</w:t>
      </w:r>
      <w:r>
        <w:rPr>
          <w:lang w:bidi="ar-SA"/>
        </w:rPr>
        <w:t xml:space="preserve"> </w:t>
      </w:r>
      <w:r w:rsidR="00C76348">
        <w:rPr>
          <w:lang w:bidi="ar-SA"/>
        </w:rPr>
        <w:t>The</w:t>
      </w:r>
      <w:r>
        <w:rPr>
          <w:lang w:bidi="ar-SA"/>
        </w:rPr>
        <w:t xml:space="preserve"> contribution of the major food groups to</w:t>
      </w:r>
      <w:r w:rsidR="00C76348">
        <w:rPr>
          <w:lang w:bidi="ar-SA"/>
        </w:rPr>
        <w:t xml:space="preserve"> dietary intakes of</w:t>
      </w:r>
      <w:r>
        <w:rPr>
          <w:lang w:bidi="ar-SA"/>
        </w:rPr>
        <w:t xml:space="preserve"> niacin equivalent</w:t>
      </w:r>
      <w:r w:rsidR="00C76348">
        <w:rPr>
          <w:lang w:bidi="ar-SA"/>
        </w:rPr>
        <w:t>s</w:t>
      </w:r>
      <w:r>
        <w:rPr>
          <w:lang w:bidi="ar-SA"/>
        </w:rPr>
        <w:t xml:space="preserve"> is given in </w:t>
      </w:r>
      <w:r w:rsidRPr="008512A5">
        <w:rPr>
          <w:b/>
          <w:lang w:bidi="ar-SA"/>
        </w:rPr>
        <w:t>Table A1.</w:t>
      </w:r>
      <w:r w:rsidR="008E1F35" w:rsidRPr="00FE6FC6">
        <w:rPr>
          <w:b/>
          <w:lang w:bidi="ar-SA"/>
        </w:rPr>
        <w:t>4</w:t>
      </w:r>
      <w:r w:rsidR="00D33E5E">
        <w:rPr>
          <w:lang w:bidi="ar-SA"/>
        </w:rPr>
        <w:t>.</w:t>
      </w:r>
      <w:r w:rsidR="00C901CF">
        <w:rPr>
          <w:lang w:bidi="ar-SA"/>
        </w:rPr>
        <w:t xml:space="preserve"> </w:t>
      </w:r>
    </w:p>
    <w:p w14:paraId="6EB1EFEE" w14:textId="77777777" w:rsidR="00C901CF" w:rsidRDefault="00C901CF" w:rsidP="00C901CF">
      <w:pPr>
        <w:rPr>
          <w:lang w:bidi="ar-SA"/>
        </w:rPr>
      </w:pPr>
    </w:p>
    <w:p w14:paraId="3B4E77AB" w14:textId="77777777" w:rsidR="00C901CF" w:rsidRPr="00BC485A" w:rsidRDefault="00C901CF" w:rsidP="00C901CF">
      <w:r w:rsidRPr="00BC485A">
        <w:t>The national nutrition survey data used for these assessments were:</w:t>
      </w:r>
    </w:p>
    <w:p w14:paraId="4C51BEDA" w14:textId="77777777" w:rsidR="00C901CF" w:rsidRPr="00BC485A" w:rsidRDefault="00C901CF" w:rsidP="00C901CF"/>
    <w:p w14:paraId="771381F7" w14:textId="77777777" w:rsidR="00C901CF" w:rsidRPr="00BC485A" w:rsidRDefault="00C901CF" w:rsidP="00C901CF">
      <w:pPr>
        <w:pStyle w:val="FSBullet1"/>
        <w:numPr>
          <w:ilvl w:val="0"/>
          <w:numId w:val="15"/>
        </w:numPr>
        <w:ind w:left="426" w:hanging="426"/>
      </w:pPr>
      <w:r w:rsidRPr="00BC485A">
        <w:t>The 2011-12 Australian National Nutrition and Physical Activity Survey (2011</w:t>
      </w:r>
      <w:r>
        <w:t>-12</w:t>
      </w:r>
      <w:r w:rsidRPr="00BC485A">
        <w:t> NNPAS)</w:t>
      </w:r>
      <w:r>
        <w:t xml:space="preserve"> (ABS 2014a and 2014b)</w:t>
      </w:r>
    </w:p>
    <w:p w14:paraId="426DD997" w14:textId="77777777" w:rsidR="00C901CF" w:rsidRPr="00BC485A" w:rsidRDefault="00C901CF" w:rsidP="00C901CF">
      <w:pPr>
        <w:pStyle w:val="FSBullet1"/>
        <w:numPr>
          <w:ilvl w:val="0"/>
          <w:numId w:val="15"/>
        </w:numPr>
        <w:ind w:left="426" w:hanging="426"/>
      </w:pPr>
      <w:r w:rsidRPr="00BC485A">
        <w:t>The 2002 New Zealand National Children’s Nutrition Survey (2002 NZ</w:t>
      </w:r>
      <w:r>
        <w:t xml:space="preserve"> C</w:t>
      </w:r>
      <w:r w:rsidRPr="00BC485A">
        <w:t>NS)</w:t>
      </w:r>
      <w:r>
        <w:t xml:space="preserve"> (Ministry of Health 2003; Ministry of Health 2005)</w:t>
      </w:r>
    </w:p>
    <w:p w14:paraId="0B414F40" w14:textId="77777777" w:rsidR="00C901CF" w:rsidRPr="00BC485A" w:rsidRDefault="00C901CF" w:rsidP="00C901CF">
      <w:pPr>
        <w:pStyle w:val="FSBullet1"/>
        <w:numPr>
          <w:ilvl w:val="0"/>
          <w:numId w:val="15"/>
        </w:numPr>
        <w:ind w:left="426" w:hanging="426"/>
      </w:pPr>
      <w:r w:rsidRPr="00BC485A">
        <w:t>The 2008-09 New Zealand Adult Nutrition Survey (2008 NZ</w:t>
      </w:r>
      <w:r>
        <w:t xml:space="preserve"> </w:t>
      </w:r>
      <w:r w:rsidRPr="00BC485A">
        <w:t>ANS)</w:t>
      </w:r>
      <w:r>
        <w:t xml:space="preserve"> (Ministry of Health 2011a; Ministry of Health 2011b)</w:t>
      </w:r>
      <w:r w:rsidRPr="00BC485A">
        <w:t>.</w:t>
      </w:r>
    </w:p>
    <w:p w14:paraId="6389F21C" w14:textId="77777777" w:rsidR="00C901CF" w:rsidRPr="00BC485A" w:rsidRDefault="00C901CF" w:rsidP="00C901CF"/>
    <w:p w14:paraId="3E1A0E4A" w14:textId="77777777" w:rsidR="00C901CF" w:rsidRPr="00D63E51" w:rsidRDefault="00C901CF" w:rsidP="00C901CF">
      <w:r w:rsidRPr="00BC485A">
        <w:t xml:space="preserve">The design of each of these surveys varies somewhat and key attributes of each are set out below. </w:t>
      </w:r>
      <w:r w:rsidRPr="00BC485A">
        <w:rPr>
          <w:lang w:eastAsia="en-AU"/>
        </w:rPr>
        <w:t xml:space="preserve">Further information is available on the FSANZ website on </w:t>
      </w:r>
      <w:hyperlink r:id="rId45" w:history="1">
        <w:r w:rsidRPr="00E34F61">
          <w:rPr>
            <w:rStyle w:val="Hyperlink"/>
            <w:lang w:eastAsia="en-AU"/>
          </w:rPr>
          <w:t>the national nutrition surveys used to conduct dietary exposure assessments</w:t>
        </w:r>
      </w:hyperlink>
      <w:r>
        <w:rPr>
          <w:lang w:eastAsia="en-AU"/>
        </w:rPr>
        <w:t>.</w:t>
      </w:r>
    </w:p>
    <w:p w14:paraId="08A2F8DD" w14:textId="77777777" w:rsidR="00C901CF" w:rsidRDefault="00C901CF" w:rsidP="00C901CF">
      <w:pPr>
        <w:pStyle w:val="ListParagraph"/>
        <w:ind w:left="0"/>
      </w:pPr>
    </w:p>
    <w:p w14:paraId="6F31F0CD" w14:textId="108A8C35" w:rsidR="00C901CF" w:rsidRDefault="00C901CF" w:rsidP="00C901CF">
      <w:pPr>
        <w:rPr>
          <w:lang w:bidi="ar-SA"/>
        </w:rPr>
      </w:pPr>
      <w:r w:rsidRPr="00422224">
        <w:t xml:space="preserve">The contribution of foods to </w:t>
      </w:r>
      <w:r w:rsidR="00A34847">
        <w:t>niacin intake</w:t>
      </w:r>
      <w:r w:rsidRPr="00422224">
        <w:t xml:space="preserve"> </w:t>
      </w:r>
      <w:r>
        <w:t>presented in this Appendix</w:t>
      </w:r>
      <w:r w:rsidR="00A34847">
        <w:t xml:space="preserve"> was</w:t>
      </w:r>
      <w:r w:rsidRPr="00422224">
        <w:t xml:space="preserve"> obtained from published sources</w:t>
      </w:r>
      <w:r w:rsidR="00A34847">
        <w:t>.</w:t>
      </w:r>
      <w:r w:rsidRPr="00422224">
        <w:t xml:space="preserve"> The majority of the contribution data for Australia came from the published reports from the 2011-12 NNPAS </w:t>
      </w:r>
      <w:r w:rsidR="00A34847">
        <w:t>(ABS 2014a).</w:t>
      </w:r>
      <w:r>
        <w:t xml:space="preserve"> All results are based on day 1 food consumption data only from each of the nutrition surveys. </w:t>
      </w:r>
    </w:p>
    <w:p w14:paraId="69EFE35A" w14:textId="77777777" w:rsidR="00C901CF" w:rsidRPr="001C3B4C" w:rsidRDefault="00C901CF" w:rsidP="00C901CF">
      <w:bookmarkStart w:id="854" w:name="_Toc518655008"/>
      <w:bookmarkStart w:id="855" w:name="_Toc522719011"/>
      <w:bookmarkStart w:id="856" w:name="_Toc522712049"/>
      <w:bookmarkStart w:id="857" w:name="_Toc523830685"/>
      <w:bookmarkStart w:id="858" w:name="_Toc526337855"/>
      <w:bookmarkStart w:id="859" w:name="_Toc526343114"/>
      <w:bookmarkStart w:id="860" w:name="_Toc38549518"/>
      <w:bookmarkStart w:id="861" w:name="_Toc38634181"/>
      <w:bookmarkStart w:id="862" w:name="_Toc39571060"/>
      <w:bookmarkStart w:id="863" w:name="_Toc39579316"/>
      <w:bookmarkStart w:id="864" w:name="_Toc39579379"/>
      <w:bookmarkStart w:id="865" w:name="_Toc39587137"/>
      <w:bookmarkStart w:id="866" w:name="_Toc39582529"/>
      <w:bookmarkStart w:id="867" w:name="_Toc40264945"/>
      <w:bookmarkStart w:id="868" w:name="_Toc40266421"/>
      <w:bookmarkStart w:id="869" w:name="_Toc40279754"/>
      <w:bookmarkStart w:id="870" w:name="_Toc40282056"/>
      <w:bookmarkStart w:id="871" w:name="_Toc40282218"/>
      <w:bookmarkStart w:id="872" w:name="_Toc40360548"/>
      <w:bookmarkStart w:id="873" w:name="_Toc40353591"/>
      <w:bookmarkStart w:id="874" w:name="_Toc40366938"/>
      <w:bookmarkStart w:id="875" w:name="_Toc40368270"/>
      <w:bookmarkStart w:id="876" w:name="_Toc40382876"/>
      <w:bookmarkStart w:id="877" w:name="_Toc40431075"/>
      <w:bookmarkStart w:id="878" w:name="_Toc40433013"/>
      <w:bookmarkStart w:id="879" w:name="_Toc40447698"/>
      <w:bookmarkStart w:id="880" w:name="_Toc40441227"/>
      <w:bookmarkStart w:id="881" w:name="_Toc40448563"/>
      <w:bookmarkStart w:id="882" w:name="_Toc40449991"/>
      <w:bookmarkStart w:id="883" w:name="_Toc508119312"/>
      <w:bookmarkStart w:id="884" w:name="_Toc516668857"/>
      <w:bookmarkStart w:id="885" w:name="_Toc517709910"/>
      <w:bookmarkStart w:id="886" w:name="_Toc518388310"/>
    </w:p>
    <w:p w14:paraId="32F1EFB4" w14:textId="77777777" w:rsidR="00C901CF" w:rsidRDefault="00C901CF" w:rsidP="00C901CF">
      <w:pPr>
        <w:rPr>
          <w:b/>
        </w:rPr>
      </w:pPr>
      <w:r w:rsidRPr="00FC5481">
        <w:rPr>
          <w:b/>
        </w:rPr>
        <w:t>2011–12 Australian National Nutrition and Physical Activity Survey (2011-12 NNPAS)</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06859779" w14:textId="77777777" w:rsidR="00C901CF" w:rsidRPr="00FC5481" w:rsidRDefault="00C901CF" w:rsidP="00C901CF">
      <w:pPr>
        <w:rPr>
          <w:b/>
        </w:rPr>
      </w:pPr>
    </w:p>
    <w:bookmarkEnd w:id="883"/>
    <w:bookmarkEnd w:id="884"/>
    <w:bookmarkEnd w:id="885"/>
    <w:bookmarkEnd w:id="886"/>
    <w:p w14:paraId="4E10B095" w14:textId="77777777" w:rsidR="00C901CF" w:rsidRPr="0033168F" w:rsidRDefault="00C901CF" w:rsidP="00C901CF">
      <w:pPr>
        <w:keepLines/>
      </w:pPr>
      <w:r w:rsidRPr="0033168F">
        <w:t>The 2011–12 Australian National Nutrition and Physical Activity Survey (2011-12 NNPAS), undertaken by the Australian Bureau of Statistics</w:t>
      </w:r>
      <w:r>
        <w:t xml:space="preserve"> (ABS) as part of the 2011-13 Australian Health Survey</w:t>
      </w:r>
      <w:r w:rsidRPr="0033168F">
        <w:t xml:space="preserve">, is the most recent food consumption data for Australia. This survey includes </w:t>
      </w:r>
      <w:r>
        <w:t>food consumption data from</w:t>
      </w:r>
      <w:r w:rsidRPr="0033168F">
        <w:t xml:space="preserve"> a sample of 12,153 Australians aged from 2 years and above. The survey used a 24-hour recall method for all respondents, with 64% of respondents </w:t>
      </w:r>
      <w:r>
        <w:t xml:space="preserve">(n=7,735) </w:t>
      </w:r>
      <w:r w:rsidRPr="0033168F">
        <w:t xml:space="preserve">also completing a second 24-hour recall on a second, non-consecutive day. The data were collected from May 2011 to June 2012 (with no enumeration between August and September 2011 due to the Census). Consumption and respondent data from the survey were incorporated into the Harvest program from the Confidentialised Unit Record Files (CURF) dataset </w:t>
      </w:r>
      <w:r w:rsidRPr="0033168F">
        <w:fldChar w:fldCharType="begin"/>
      </w:r>
      <w:r w:rsidRPr="0033168F">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Pr="0033168F">
        <w:fldChar w:fldCharType="separate"/>
      </w:r>
      <w:r w:rsidRPr="0033168F">
        <w:rPr>
          <w:noProof/>
        </w:rPr>
        <w:t>(ABS 2014)</w:t>
      </w:r>
      <w:r w:rsidRPr="0033168F">
        <w:fldChar w:fldCharType="end"/>
      </w:r>
      <w:r w:rsidRPr="0033168F">
        <w:t>.</w:t>
      </w:r>
      <w:r>
        <w:t xml:space="preserve"> These data were weighted during the calculations undertaken in Harvest.</w:t>
      </w:r>
    </w:p>
    <w:p w14:paraId="715323BC" w14:textId="77777777" w:rsidR="00C901CF" w:rsidRPr="0033168F" w:rsidRDefault="00C901CF" w:rsidP="00C901CF">
      <w:pPr>
        <w:keepLines/>
      </w:pPr>
    </w:p>
    <w:p w14:paraId="1D8EDACF" w14:textId="77777777" w:rsidR="00C901CF" w:rsidRDefault="00C901CF" w:rsidP="00C901CF">
      <w:pPr>
        <w:rPr>
          <w:b/>
        </w:rPr>
      </w:pPr>
      <w:bookmarkStart w:id="887" w:name="_Toc434566820"/>
      <w:bookmarkStart w:id="888" w:name="_Toc508119313"/>
      <w:bookmarkStart w:id="889" w:name="_Toc516668858"/>
      <w:bookmarkStart w:id="890" w:name="_Toc517709911"/>
      <w:bookmarkStart w:id="891" w:name="_Toc518388311"/>
      <w:bookmarkStart w:id="892" w:name="_Toc518655009"/>
      <w:bookmarkStart w:id="893" w:name="_Toc522719012"/>
      <w:bookmarkStart w:id="894" w:name="_Toc522712050"/>
      <w:bookmarkStart w:id="895" w:name="_Toc523830686"/>
      <w:bookmarkStart w:id="896" w:name="_Toc526337856"/>
      <w:bookmarkStart w:id="897" w:name="_Toc526343115"/>
      <w:bookmarkStart w:id="898" w:name="_Toc38549519"/>
      <w:bookmarkStart w:id="899" w:name="_Toc38634182"/>
      <w:bookmarkStart w:id="900" w:name="_Toc39571061"/>
      <w:bookmarkStart w:id="901" w:name="_Toc39579317"/>
      <w:bookmarkStart w:id="902" w:name="_Toc39579380"/>
      <w:bookmarkStart w:id="903" w:name="_Toc39587138"/>
      <w:bookmarkStart w:id="904" w:name="_Toc39582530"/>
      <w:bookmarkStart w:id="905" w:name="_Toc40264946"/>
      <w:bookmarkStart w:id="906" w:name="_Toc40266422"/>
      <w:bookmarkStart w:id="907" w:name="_Toc40279755"/>
      <w:bookmarkStart w:id="908" w:name="_Toc40282057"/>
      <w:bookmarkStart w:id="909" w:name="_Toc40282219"/>
      <w:bookmarkStart w:id="910" w:name="_Toc40360549"/>
      <w:bookmarkStart w:id="911" w:name="_Toc40353592"/>
      <w:bookmarkStart w:id="912" w:name="_Toc40366939"/>
      <w:bookmarkStart w:id="913" w:name="_Toc40368271"/>
      <w:bookmarkStart w:id="914" w:name="_Toc40382877"/>
      <w:bookmarkStart w:id="915" w:name="_Toc40431076"/>
      <w:bookmarkStart w:id="916" w:name="_Toc40433014"/>
      <w:bookmarkStart w:id="917" w:name="_Toc40447699"/>
      <w:bookmarkStart w:id="918" w:name="_Toc40441228"/>
      <w:bookmarkStart w:id="919" w:name="_Toc40448564"/>
      <w:bookmarkStart w:id="920" w:name="_Toc40449992"/>
      <w:r w:rsidRPr="00FC5481">
        <w:rPr>
          <w:b/>
        </w:rPr>
        <w:t>2002 New Zealand National Children’s Nutrition Survey (2002 NZ CNS)</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0C6D0641" w14:textId="77777777" w:rsidR="00C901CF" w:rsidRPr="00FC5481" w:rsidRDefault="00C901CF" w:rsidP="00C901CF">
      <w:pPr>
        <w:rPr>
          <w:b/>
        </w:rPr>
      </w:pPr>
    </w:p>
    <w:p w14:paraId="4D9590ED" w14:textId="77777777" w:rsidR="00C901CF" w:rsidRPr="00BC485A" w:rsidRDefault="00C901CF" w:rsidP="00C901CF">
      <w:pPr>
        <w:autoSpaceDE w:val="0"/>
        <w:autoSpaceDN w:val="0"/>
        <w:adjustRightInd w:val="0"/>
      </w:pPr>
      <w:r w:rsidRPr="00BC485A">
        <w:t>The 2002 NZ</w:t>
      </w:r>
      <w:r>
        <w:t xml:space="preserve"> C</w:t>
      </w:r>
      <w:r w:rsidRPr="00BC485A">
        <w:t xml:space="preserve">NS was a cross-sectional and nationally representative survey of 3,275 New Zealand children aged 5–14 years. The data were collected during the school year from February to December 2002. The survey used a 24-hour food recall and provided information on food and nutrient intakes, eating patterns, frequently eaten foods, physical activity patterns, dental health, anthropometric measures and nutrition-related clinical measures. It was also the first children’s nutrition survey in New Zealand to include a second day diet recall data for about </w:t>
      </w:r>
      <w:r w:rsidRPr="00BC485A">
        <w:lastRenderedPageBreak/>
        <w:t xml:space="preserve">15% of the respondents, and dietary intake from both foods (including beverages) and dietary supplements. These data were weighted </w:t>
      </w:r>
      <w:r>
        <w:t>during the calculations undertaken</w:t>
      </w:r>
      <w:r w:rsidRPr="00BC485A">
        <w:t xml:space="preserve"> in Harvest.</w:t>
      </w:r>
    </w:p>
    <w:p w14:paraId="7DE5BF77" w14:textId="77777777" w:rsidR="00C901CF" w:rsidRPr="00BC485A" w:rsidRDefault="00C901CF" w:rsidP="00C901CF">
      <w:pPr>
        <w:autoSpaceDE w:val="0"/>
        <w:autoSpaceDN w:val="0"/>
        <w:adjustRightInd w:val="0"/>
      </w:pPr>
    </w:p>
    <w:p w14:paraId="71EF4398" w14:textId="77777777" w:rsidR="00C901CF" w:rsidRDefault="00C901CF" w:rsidP="00C901CF">
      <w:pPr>
        <w:keepNext/>
        <w:keepLines/>
        <w:rPr>
          <w:rFonts w:eastAsia="Calibri"/>
          <w:b/>
        </w:rPr>
      </w:pPr>
      <w:bookmarkStart w:id="921" w:name="_Toc434566821"/>
      <w:bookmarkStart w:id="922" w:name="_Toc508119314"/>
      <w:bookmarkStart w:id="923" w:name="_Toc516668859"/>
      <w:bookmarkStart w:id="924" w:name="_Toc517709912"/>
      <w:bookmarkStart w:id="925" w:name="_Toc518388312"/>
      <w:bookmarkStart w:id="926" w:name="_Toc518655010"/>
      <w:bookmarkStart w:id="927" w:name="_Toc522719013"/>
      <w:bookmarkStart w:id="928" w:name="_Toc522712051"/>
      <w:bookmarkStart w:id="929" w:name="_Toc523830687"/>
      <w:bookmarkStart w:id="930" w:name="_Toc526337857"/>
      <w:bookmarkStart w:id="931" w:name="_Toc526343116"/>
      <w:bookmarkStart w:id="932" w:name="_Toc38549520"/>
      <w:bookmarkStart w:id="933" w:name="_Toc38634183"/>
      <w:bookmarkStart w:id="934" w:name="_Toc39571062"/>
      <w:bookmarkStart w:id="935" w:name="_Toc39579318"/>
      <w:bookmarkStart w:id="936" w:name="_Toc39579381"/>
      <w:bookmarkStart w:id="937" w:name="_Toc39587139"/>
      <w:bookmarkStart w:id="938" w:name="_Toc39582531"/>
      <w:bookmarkStart w:id="939" w:name="_Toc40264947"/>
      <w:bookmarkStart w:id="940" w:name="_Toc40266423"/>
      <w:bookmarkStart w:id="941" w:name="_Toc40279756"/>
      <w:bookmarkStart w:id="942" w:name="_Toc40282058"/>
      <w:bookmarkStart w:id="943" w:name="_Toc40282220"/>
      <w:bookmarkStart w:id="944" w:name="_Toc40360550"/>
      <w:bookmarkStart w:id="945" w:name="_Toc40353593"/>
      <w:bookmarkStart w:id="946" w:name="_Toc40366940"/>
      <w:bookmarkStart w:id="947" w:name="_Toc40368272"/>
      <w:bookmarkStart w:id="948" w:name="_Toc40382878"/>
      <w:bookmarkStart w:id="949" w:name="_Toc40431077"/>
      <w:bookmarkStart w:id="950" w:name="_Toc40433015"/>
      <w:bookmarkStart w:id="951" w:name="_Toc40447700"/>
      <w:bookmarkStart w:id="952" w:name="_Toc40441229"/>
      <w:bookmarkStart w:id="953" w:name="_Toc40448565"/>
      <w:bookmarkStart w:id="954" w:name="_Toc40449993"/>
      <w:r w:rsidRPr="00FC5481">
        <w:rPr>
          <w:rFonts w:eastAsia="Calibri"/>
          <w:b/>
        </w:rPr>
        <w:t>2008-09 New Zealand Adult Nutrition Survey (2008 NZ ANS)</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030118BB" w14:textId="77777777" w:rsidR="00C901CF" w:rsidRPr="00FC5481" w:rsidRDefault="00C901CF" w:rsidP="00C901CF">
      <w:pPr>
        <w:keepNext/>
        <w:keepLines/>
        <w:rPr>
          <w:b/>
        </w:rPr>
      </w:pPr>
    </w:p>
    <w:p w14:paraId="5C1E70CF" w14:textId="77777777" w:rsidR="00C901CF" w:rsidRDefault="00C901CF" w:rsidP="00C901CF">
      <w:pPr>
        <w:keepNext/>
        <w:keepLines/>
        <w:rPr>
          <w:lang w:eastAsia="en-AU"/>
        </w:rPr>
      </w:pPr>
      <w:r w:rsidRPr="00BC485A">
        <w:rPr>
          <w:lang w:eastAsia="en-AU"/>
        </w:rPr>
        <w:t>The 2008 NZ</w:t>
      </w:r>
      <w:r>
        <w:rPr>
          <w:lang w:eastAsia="en-AU"/>
        </w:rPr>
        <w:t xml:space="preserve"> </w:t>
      </w:r>
      <w:r w:rsidRPr="00BC485A">
        <w:rPr>
          <w:lang w:eastAsia="en-AU"/>
        </w:rPr>
        <w:t xml:space="preserve">ANS provides comprehensive information on </w:t>
      </w:r>
      <w:r>
        <w:rPr>
          <w:lang w:eastAsia="en-AU"/>
        </w:rPr>
        <w:t>food consumption for</w:t>
      </w:r>
      <w:r w:rsidRPr="00BC485A">
        <w:rPr>
          <w:lang w:eastAsia="en-AU"/>
        </w:rPr>
        <w:t xml:space="preserve"> a sample of 4,721 respondents aged 15 years and above. The survey was conducted on a stratified sample over a 12-month period from October 2008 to October 2009. The survey used a </w:t>
      </w:r>
      <w:r>
        <w:rPr>
          <w:lang w:eastAsia="en-AU"/>
        </w:rPr>
        <w:t>24</w:t>
      </w:r>
      <w:r>
        <w:rPr>
          <w:lang w:eastAsia="en-AU"/>
        </w:rPr>
        <w:noBreakHyphen/>
        <w:t>h</w:t>
      </w:r>
      <w:r w:rsidRPr="00BC485A">
        <w:rPr>
          <w:lang w:eastAsia="en-AU"/>
        </w:rPr>
        <w:t>our recall methodology with 25% of respondents also completing a second 24-hour recall.</w:t>
      </w:r>
      <w:r w:rsidRPr="00BC485A">
        <w:t xml:space="preserve"> The information collected in the 2008 NZ</w:t>
      </w:r>
      <w:r>
        <w:t xml:space="preserve"> </w:t>
      </w:r>
      <w:r w:rsidRPr="00BC485A">
        <w:t xml:space="preserve">ANS included food and nutrient intakes, dietary supplement use, socio-demographics, nutrition related health, and anthropometric measures. </w:t>
      </w:r>
      <w:r w:rsidRPr="00BC485A">
        <w:rPr>
          <w:lang w:eastAsia="en-AU"/>
        </w:rPr>
        <w:t xml:space="preserve">These data were weighted </w:t>
      </w:r>
      <w:r>
        <w:rPr>
          <w:lang w:eastAsia="en-AU"/>
        </w:rPr>
        <w:t>during the calculations undertaken</w:t>
      </w:r>
      <w:r w:rsidRPr="00BC485A">
        <w:rPr>
          <w:lang w:eastAsia="en-AU"/>
        </w:rPr>
        <w:t xml:space="preserve"> in Harvest.</w:t>
      </w:r>
      <w:bookmarkStart w:id="955" w:name="_Toc360028639"/>
      <w:bookmarkEnd w:id="955"/>
    </w:p>
    <w:p w14:paraId="74B011E6" w14:textId="54458E38" w:rsidR="00C6339D" w:rsidRDefault="00C6339D">
      <w:pPr>
        <w:widowControl/>
        <w:rPr>
          <w:lang w:bidi="ar-SA"/>
        </w:rPr>
      </w:pPr>
    </w:p>
    <w:p w14:paraId="205D19A2" w14:textId="6814FC1C" w:rsidR="00A9372F" w:rsidRDefault="00C10032" w:rsidP="00A9372F">
      <w:pPr>
        <w:pStyle w:val="FSTableColumnRowheading"/>
      </w:pPr>
      <w:r w:rsidRPr="00C10032">
        <w:rPr>
          <w:i/>
        </w:rPr>
        <w:t xml:space="preserve">Table </w:t>
      </w:r>
      <w:r w:rsidR="009329AD" w:rsidRPr="00C10032">
        <w:rPr>
          <w:i/>
        </w:rPr>
        <w:t>A</w:t>
      </w:r>
      <w:r w:rsidR="00A9372F" w:rsidRPr="00C10032">
        <w:rPr>
          <w:i/>
        </w:rPr>
        <w:t>1.1</w:t>
      </w:r>
      <w:r>
        <w:rPr>
          <w:i/>
        </w:rPr>
        <w:t>.</w:t>
      </w:r>
      <w:r w:rsidR="00A9372F" w:rsidRPr="00A9372F">
        <w:t xml:space="preserve">  Usual daily intake of niacin equivalents from foods</w:t>
      </w:r>
      <w:r w:rsidR="00A9372F">
        <w:t xml:space="preserve"> </w:t>
      </w:r>
      <w:r w:rsidR="00AD679E">
        <w:t>for Australia</w:t>
      </w:r>
      <w:r w:rsidR="00AC22B3">
        <w:t xml:space="preserve"> (mg/day)</w:t>
      </w:r>
    </w:p>
    <w:tbl>
      <w:tblPr>
        <w:tblW w:w="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Usual daily intake of niacin equivalents from foods for Australia (mg/day"/>
        <w:tblDescription w:val="Table 1.1 has 9 columns. The first column is the males and female group in percentiles. The second column is the usual daily intake of niacin equivalents in percentiles, mean in mg by 2- 3 age group, the third column is for 4- 8 years, the fourth is for 9 – 13 years age group, the fifth is for 14 – 18 aged, the sixth is for 19 – 30 years old, the seventh column is for 31 – 50 years old, the eighth column is for 51 – 70 years age group. The last column is for 71 and over years age group. "/>
      </w:tblPr>
      <w:tblGrid>
        <w:gridCol w:w="2268"/>
        <w:gridCol w:w="704"/>
        <w:gridCol w:w="796"/>
        <w:gridCol w:w="601"/>
        <w:gridCol w:w="734"/>
        <w:gridCol w:w="752"/>
        <w:gridCol w:w="750"/>
        <w:gridCol w:w="850"/>
        <w:gridCol w:w="1087"/>
      </w:tblGrid>
      <w:tr w:rsidR="00AC22B3" w:rsidRPr="0019356D" w14:paraId="3021138A" w14:textId="77777777" w:rsidTr="00C76348">
        <w:trPr>
          <w:trHeight w:val="263"/>
        </w:trPr>
        <w:tc>
          <w:tcPr>
            <w:tcW w:w="2268" w:type="dxa"/>
            <w:shd w:val="clear" w:color="auto" w:fill="auto"/>
            <w:noWrap/>
            <w:vAlign w:val="bottom"/>
            <w:hideMark/>
          </w:tcPr>
          <w:p w14:paraId="02AED65B" w14:textId="77777777" w:rsidR="00AC22B3" w:rsidRPr="0019356D" w:rsidRDefault="00AC22B3" w:rsidP="001B3BD4">
            <w:pPr>
              <w:widowControl/>
              <w:rPr>
                <w:rFonts w:cs="Arial"/>
                <w:b/>
                <w:bCs/>
                <w:color w:val="000000"/>
                <w:sz w:val="20"/>
                <w:szCs w:val="20"/>
                <w:lang w:eastAsia="en-GB" w:bidi="ar-SA"/>
              </w:rPr>
            </w:pPr>
          </w:p>
        </w:tc>
        <w:tc>
          <w:tcPr>
            <w:tcW w:w="6274" w:type="dxa"/>
            <w:gridSpan w:val="8"/>
            <w:shd w:val="clear" w:color="auto" w:fill="auto"/>
            <w:noWrap/>
            <w:vAlign w:val="bottom"/>
            <w:hideMark/>
          </w:tcPr>
          <w:p w14:paraId="338FD668" w14:textId="77777777" w:rsidR="00AC22B3" w:rsidRPr="0019356D" w:rsidRDefault="00AC22B3" w:rsidP="001B3BD4">
            <w:pPr>
              <w:widowControl/>
              <w:jc w:val="center"/>
              <w:rPr>
                <w:rFonts w:cs="Arial"/>
                <w:b/>
                <w:bCs/>
                <w:color w:val="000000"/>
                <w:sz w:val="16"/>
                <w:szCs w:val="16"/>
                <w:lang w:eastAsia="en-GB" w:bidi="ar-SA"/>
              </w:rPr>
            </w:pPr>
            <w:r w:rsidRPr="0019356D">
              <w:rPr>
                <w:rFonts w:cs="Arial"/>
                <w:b/>
                <w:bCs/>
                <w:color w:val="000000"/>
                <w:sz w:val="16"/>
                <w:szCs w:val="16"/>
                <w:lang w:eastAsia="en-GB" w:bidi="ar-SA"/>
              </w:rPr>
              <w:t>Age group (years)</w:t>
            </w:r>
          </w:p>
        </w:tc>
      </w:tr>
      <w:tr w:rsidR="00AC22B3" w:rsidRPr="0019356D" w14:paraId="15472610" w14:textId="77777777" w:rsidTr="00C76348">
        <w:trPr>
          <w:trHeight w:val="440"/>
        </w:trPr>
        <w:tc>
          <w:tcPr>
            <w:tcW w:w="2268" w:type="dxa"/>
            <w:shd w:val="clear" w:color="auto" w:fill="auto"/>
            <w:noWrap/>
            <w:vAlign w:val="bottom"/>
            <w:hideMark/>
          </w:tcPr>
          <w:p w14:paraId="7FF74F76" w14:textId="77777777" w:rsidR="00AC22B3" w:rsidRPr="0019356D" w:rsidRDefault="00AC22B3" w:rsidP="001B3BD4">
            <w:pPr>
              <w:widowControl/>
              <w:rPr>
                <w:rFonts w:cs="Arial"/>
                <w:i/>
                <w:iCs/>
                <w:sz w:val="16"/>
                <w:szCs w:val="16"/>
                <w:lang w:eastAsia="en-GB" w:bidi="ar-SA"/>
              </w:rPr>
            </w:pPr>
            <w:r w:rsidRPr="0019356D">
              <w:rPr>
                <w:rFonts w:cs="Arial"/>
                <w:i/>
                <w:iCs/>
                <w:sz w:val="16"/>
                <w:szCs w:val="16"/>
                <w:lang w:eastAsia="en-GB" w:bidi="ar-SA"/>
              </w:rPr>
              <w:t> </w:t>
            </w:r>
          </w:p>
        </w:tc>
        <w:tc>
          <w:tcPr>
            <w:tcW w:w="704" w:type="dxa"/>
            <w:shd w:val="clear" w:color="auto" w:fill="auto"/>
            <w:noWrap/>
            <w:vAlign w:val="bottom"/>
            <w:hideMark/>
          </w:tcPr>
          <w:p w14:paraId="02269465" w14:textId="77777777" w:rsidR="00AC22B3" w:rsidRPr="0019356D" w:rsidRDefault="00AC22B3" w:rsidP="001B3BD4">
            <w:pPr>
              <w:widowControl/>
              <w:jc w:val="right"/>
              <w:rPr>
                <w:rFonts w:cs="Arial"/>
                <w:b/>
                <w:bCs/>
                <w:sz w:val="16"/>
                <w:szCs w:val="16"/>
                <w:lang w:eastAsia="en-GB" w:bidi="ar-SA"/>
              </w:rPr>
            </w:pPr>
            <w:r w:rsidRPr="0019356D">
              <w:rPr>
                <w:rFonts w:cs="Arial"/>
                <w:b/>
                <w:bCs/>
                <w:sz w:val="16"/>
                <w:szCs w:val="16"/>
                <w:lang w:eastAsia="en-GB" w:bidi="ar-SA"/>
              </w:rPr>
              <w:t>2-3</w:t>
            </w:r>
          </w:p>
        </w:tc>
        <w:tc>
          <w:tcPr>
            <w:tcW w:w="796" w:type="dxa"/>
            <w:shd w:val="clear" w:color="auto" w:fill="auto"/>
            <w:noWrap/>
            <w:vAlign w:val="bottom"/>
            <w:hideMark/>
          </w:tcPr>
          <w:p w14:paraId="1D17A123" w14:textId="77777777" w:rsidR="00AC22B3" w:rsidRPr="0019356D" w:rsidRDefault="00AC22B3" w:rsidP="001B3BD4">
            <w:pPr>
              <w:widowControl/>
              <w:jc w:val="right"/>
              <w:rPr>
                <w:rFonts w:cs="Arial"/>
                <w:b/>
                <w:bCs/>
                <w:sz w:val="16"/>
                <w:szCs w:val="16"/>
                <w:lang w:eastAsia="en-GB" w:bidi="ar-SA"/>
              </w:rPr>
            </w:pPr>
            <w:r w:rsidRPr="0019356D">
              <w:rPr>
                <w:rFonts w:cs="Arial"/>
                <w:b/>
                <w:bCs/>
                <w:sz w:val="16"/>
                <w:szCs w:val="16"/>
                <w:lang w:eastAsia="en-GB" w:bidi="ar-SA"/>
              </w:rPr>
              <w:t>4-8</w:t>
            </w:r>
          </w:p>
        </w:tc>
        <w:tc>
          <w:tcPr>
            <w:tcW w:w="601" w:type="dxa"/>
            <w:shd w:val="clear" w:color="auto" w:fill="auto"/>
            <w:noWrap/>
            <w:vAlign w:val="bottom"/>
            <w:hideMark/>
          </w:tcPr>
          <w:p w14:paraId="2E8D8945" w14:textId="77777777" w:rsidR="00AC22B3" w:rsidRPr="0019356D" w:rsidRDefault="00AC22B3" w:rsidP="001B3BD4">
            <w:pPr>
              <w:widowControl/>
              <w:jc w:val="right"/>
              <w:rPr>
                <w:rFonts w:cs="Arial"/>
                <w:b/>
                <w:bCs/>
                <w:sz w:val="16"/>
                <w:szCs w:val="16"/>
                <w:lang w:eastAsia="en-GB" w:bidi="ar-SA"/>
              </w:rPr>
            </w:pPr>
            <w:r w:rsidRPr="0019356D">
              <w:rPr>
                <w:rFonts w:cs="Arial"/>
                <w:b/>
                <w:bCs/>
                <w:sz w:val="16"/>
                <w:szCs w:val="16"/>
                <w:lang w:eastAsia="en-GB" w:bidi="ar-SA"/>
              </w:rPr>
              <w:t>9-13</w:t>
            </w:r>
          </w:p>
        </w:tc>
        <w:tc>
          <w:tcPr>
            <w:tcW w:w="734" w:type="dxa"/>
            <w:shd w:val="clear" w:color="auto" w:fill="auto"/>
            <w:vAlign w:val="bottom"/>
            <w:hideMark/>
          </w:tcPr>
          <w:p w14:paraId="06D7E679" w14:textId="77777777" w:rsidR="00AC22B3" w:rsidRPr="0019356D" w:rsidRDefault="00AC22B3" w:rsidP="001B3BD4">
            <w:pPr>
              <w:widowControl/>
              <w:jc w:val="right"/>
              <w:rPr>
                <w:rFonts w:cs="Arial"/>
                <w:b/>
                <w:bCs/>
                <w:sz w:val="16"/>
                <w:szCs w:val="16"/>
                <w:lang w:eastAsia="en-GB" w:bidi="ar-SA"/>
              </w:rPr>
            </w:pPr>
            <w:r w:rsidRPr="0019356D">
              <w:rPr>
                <w:rFonts w:cs="Arial"/>
                <w:b/>
                <w:bCs/>
                <w:sz w:val="16"/>
                <w:szCs w:val="16"/>
                <w:lang w:eastAsia="en-GB" w:bidi="ar-SA"/>
              </w:rPr>
              <w:t>14-18</w:t>
            </w:r>
          </w:p>
        </w:tc>
        <w:tc>
          <w:tcPr>
            <w:tcW w:w="752" w:type="dxa"/>
            <w:shd w:val="clear" w:color="auto" w:fill="auto"/>
            <w:noWrap/>
            <w:vAlign w:val="bottom"/>
            <w:hideMark/>
          </w:tcPr>
          <w:p w14:paraId="23B17199" w14:textId="77777777" w:rsidR="00AC22B3" w:rsidRPr="0019356D" w:rsidRDefault="00AC22B3" w:rsidP="001B3BD4">
            <w:pPr>
              <w:widowControl/>
              <w:jc w:val="right"/>
              <w:rPr>
                <w:rFonts w:cs="Arial"/>
                <w:b/>
                <w:bCs/>
                <w:sz w:val="16"/>
                <w:szCs w:val="16"/>
                <w:lang w:eastAsia="en-GB" w:bidi="ar-SA"/>
              </w:rPr>
            </w:pPr>
            <w:r w:rsidRPr="0019356D">
              <w:rPr>
                <w:rFonts w:cs="Arial"/>
                <w:b/>
                <w:bCs/>
                <w:sz w:val="16"/>
                <w:szCs w:val="16"/>
                <w:lang w:eastAsia="en-GB" w:bidi="ar-SA"/>
              </w:rPr>
              <w:t>19-30</w:t>
            </w:r>
          </w:p>
        </w:tc>
        <w:tc>
          <w:tcPr>
            <w:tcW w:w="750" w:type="dxa"/>
            <w:shd w:val="clear" w:color="auto" w:fill="auto"/>
            <w:vAlign w:val="bottom"/>
            <w:hideMark/>
          </w:tcPr>
          <w:p w14:paraId="695FB28D" w14:textId="77777777" w:rsidR="00AC22B3" w:rsidRPr="0019356D" w:rsidRDefault="00AC22B3" w:rsidP="001B3BD4">
            <w:pPr>
              <w:widowControl/>
              <w:jc w:val="right"/>
              <w:rPr>
                <w:rFonts w:cs="Arial"/>
                <w:b/>
                <w:bCs/>
                <w:sz w:val="16"/>
                <w:szCs w:val="16"/>
                <w:lang w:eastAsia="en-GB" w:bidi="ar-SA"/>
              </w:rPr>
            </w:pPr>
            <w:r w:rsidRPr="0019356D">
              <w:rPr>
                <w:rFonts w:cs="Arial"/>
                <w:b/>
                <w:bCs/>
                <w:sz w:val="16"/>
                <w:szCs w:val="16"/>
                <w:lang w:eastAsia="en-GB" w:bidi="ar-SA"/>
              </w:rPr>
              <w:t>31-50</w:t>
            </w:r>
          </w:p>
        </w:tc>
        <w:tc>
          <w:tcPr>
            <w:tcW w:w="850" w:type="dxa"/>
            <w:shd w:val="clear" w:color="auto" w:fill="auto"/>
            <w:vAlign w:val="bottom"/>
            <w:hideMark/>
          </w:tcPr>
          <w:p w14:paraId="1751BF5D" w14:textId="77777777" w:rsidR="00AC22B3" w:rsidRPr="0019356D" w:rsidRDefault="00AC22B3" w:rsidP="001B3BD4">
            <w:pPr>
              <w:widowControl/>
              <w:jc w:val="right"/>
              <w:rPr>
                <w:rFonts w:cs="Arial"/>
                <w:b/>
                <w:bCs/>
                <w:sz w:val="16"/>
                <w:szCs w:val="16"/>
                <w:lang w:eastAsia="en-GB" w:bidi="ar-SA"/>
              </w:rPr>
            </w:pPr>
            <w:r w:rsidRPr="0019356D">
              <w:rPr>
                <w:rFonts w:cs="Arial"/>
                <w:b/>
                <w:bCs/>
                <w:sz w:val="16"/>
                <w:szCs w:val="16"/>
                <w:lang w:eastAsia="en-GB" w:bidi="ar-SA"/>
              </w:rPr>
              <w:t>51-70</w:t>
            </w:r>
          </w:p>
        </w:tc>
        <w:tc>
          <w:tcPr>
            <w:tcW w:w="1087" w:type="dxa"/>
            <w:shd w:val="clear" w:color="auto" w:fill="auto"/>
            <w:vAlign w:val="bottom"/>
            <w:hideMark/>
          </w:tcPr>
          <w:p w14:paraId="36271B18" w14:textId="77777777" w:rsidR="00AC22B3" w:rsidRPr="0019356D" w:rsidRDefault="00AC22B3" w:rsidP="001B3BD4">
            <w:pPr>
              <w:widowControl/>
              <w:jc w:val="right"/>
              <w:rPr>
                <w:rFonts w:cs="Arial"/>
                <w:b/>
                <w:bCs/>
                <w:sz w:val="16"/>
                <w:szCs w:val="16"/>
                <w:lang w:eastAsia="en-GB" w:bidi="ar-SA"/>
              </w:rPr>
            </w:pPr>
            <w:r w:rsidRPr="0019356D">
              <w:rPr>
                <w:rFonts w:cs="Arial"/>
                <w:b/>
                <w:bCs/>
                <w:sz w:val="16"/>
                <w:szCs w:val="16"/>
                <w:lang w:eastAsia="en-GB" w:bidi="ar-SA"/>
              </w:rPr>
              <w:t>71 and over</w:t>
            </w:r>
          </w:p>
        </w:tc>
      </w:tr>
      <w:tr w:rsidR="00AC22B3" w:rsidRPr="0019356D" w14:paraId="0BAC9D07" w14:textId="77777777" w:rsidTr="00C76348">
        <w:trPr>
          <w:trHeight w:val="255"/>
        </w:trPr>
        <w:tc>
          <w:tcPr>
            <w:tcW w:w="2268" w:type="dxa"/>
            <w:shd w:val="clear" w:color="auto" w:fill="auto"/>
            <w:noWrap/>
            <w:vAlign w:val="bottom"/>
            <w:hideMark/>
          </w:tcPr>
          <w:p w14:paraId="658BEC15" w14:textId="49D64A1D" w:rsidR="00AC22B3" w:rsidRPr="0019356D" w:rsidRDefault="00AC22B3" w:rsidP="001B3BD4">
            <w:pPr>
              <w:widowControl/>
              <w:rPr>
                <w:rFonts w:cs="Arial"/>
                <w:sz w:val="16"/>
                <w:szCs w:val="16"/>
                <w:lang w:eastAsia="en-GB" w:bidi="ar-SA"/>
              </w:rPr>
            </w:pPr>
            <w:r w:rsidRPr="0019356D">
              <w:rPr>
                <w:rFonts w:cs="Arial"/>
                <w:sz w:val="16"/>
                <w:szCs w:val="16"/>
                <w:lang w:eastAsia="en-GB" w:bidi="ar-SA"/>
              </w:rPr>
              <w:t> </w:t>
            </w:r>
            <w:r w:rsidR="00D81787" w:rsidRPr="0019356D">
              <w:rPr>
                <w:rFonts w:cs="Arial"/>
                <w:b/>
                <w:bCs/>
                <w:sz w:val="16"/>
                <w:szCs w:val="16"/>
                <w:lang w:eastAsia="en-GB" w:bidi="ar-SA"/>
              </w:rPr>
              <w:t>Percentiles</w:t>
            </w:r>
          </w:p>
        </w:tc>
        <w:tc>
          <w:tcPr>
            <w:tcW w:w="6274" w:type="dxa"/>
            <w:gridSpan w:val="8"/>
            <w:shd w:val="clear" w:color="auto" w:fill="auto"/>
            <w:noWrap/>
            <w:vAlign w:val="bottom"/>
            <w:hideMark/>
          </w:tcPr>
          <w:p w14:paraId="6E3F40FA" w14:textId="77777777" w:rsidR="00AC22B3" w:rsidRPr="0019356D" w:rsidRDefault="00AC22B3" w:rsidP="001B3BD4">
            <w:pPr>
              <w:widowControl/>
              <w:jc w:val="center"/>
              <w:rPr>
                <w:rFonts w:cs="Arial"/>
                <w:b/>
                <w:bCs/>
                <w:sz w:val="16"/>
                <w:szCs w:val="16"/>
                <w:lang w:eastAsia="en-GB" w:bidi="ar-SA"/>
              </w:rPr>
            </w:pPr>
            <w:r w:rsidRPr="0019356D">
              <w:rPr>
                <w:rFonts w:cs="Arial"/>
                <w:b/>
                <w:bCs/>
                <w:sz w:val="16"/>
                <w:szCs w:val="16"/>
                <w:lang w:eastAsia="en-GB" w:bidi="ar-SA"/>
              </w:rPr>
              <w:t>Males</w:t>
            </w:r>
          </w:p>
        </w:tc>
      </w:tr>
      <w:tr w:rsidR="00AC22B3" w:rsidRPr="0019356D" w14:paraId="68DE628E" w14:textId="77777777" w:rsidTr="00C76348">
        <w:trPr>
          <w:trHeight w:val="255"/>
        </w:trPr>
        <w:tc>
          <w:tcPr>
            <w:tcW w:w="2268" w:type="dxa"/>
            <w:shd w:val="clear" w:color="auto" w:fill="auto"/>
            <w:noWrap/>
            <w:vAlign w:val="bottom"/>
            <w:hideMark/>
          </w:tcPr>
          <w:p w14:paraId="28ADF0CF"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5</w:t>
            </w:r>
          </w:p>
        </w:tc>
        <w:tc>
          <w:tcPr>
            <w:tcW w:w="704" w:type="dxa"/>
            <w:shd w:val="clear" w:color="auto" w:fill="auto"/>
            <w:noWrap/>
            <w:vAlign w:val="bottom"/>
            <w:hideMark/>
          </w:tcPr>
          <w:p w14:paraId="63985551"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19</w:t>
            </w:r>
          </w:p>
        </w:tc>
        <w:tc>
          <w:tcPr>
            <w:tcW w:w="796" w:type="dxa"/>
            <w:shd w:val="clear" w:color="auto" w:fill="auto"/>
            <w:noWrap/>
            <w:vAlign w:val="bottom"/>
            <w:hideMark/>
          </w:tcPr>
          <w:p w14:paraId="660DF929"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23</w:t>
            </w:r>
          </w:p>
        </w:tc>
        <w:tc>
          <w:tcPr>
            <w:tcW w:w="601" w:type="dxa"/>
            <w:shd w:val="clear" w:color="auto" w:fill="auto"/>
            <w:noWrap/>
            <w:vAlign w:val="bottom"/>
            <w:hideMark/>
          </w:tcPr>
          <w:p w14:paraId="411C99F2"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25</w:t>
            </w:r>
          </w:p>
        </w:tc>
        <w:tc>
          <w:tcPr>
            <w:tcW w:w="734" w:type="dxa"/>
            <w:shd w:val="clear" w:color="auto" w:fill="auto"/>
            <w:noWrap/>
            <w:vAlign w:val="bottom"/>
            <w:hideMark/>
          </w:tcPr>
          <w:p w14:paraId="014AC304"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31</w:t>
            </w:r>
          </w:p>
        </w:tc>
        <w:tc>
          <w:tcPr>
            <w:tcW w:w="752" w:type="dxa"/>
            <w:shd w:val="clear" w:color="auto" w:fill="auto"/>
            <w:noWrap/>
            <w:vAlign w:val="bottom"/>
            <w:hideMark/>
          </w:tcPr>
          <w:p w14:paraId="2C282BB9"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35</w:t>
            </w:r>
          </w:p>
        </w:tc>
        <w:tc>
          <w:tcPr>
            <w:tcW w:w="750" w:type="dxa"/>
            <w:shd w:val="clear" w:color="auto" w:fill="auto"/>
            <w:noWrap/>
            <w:vAlign w:val="bottom"/>
            <w:hideMark/>
          </w:tcPr>
          <w:p w14:paraId="1C2225B0"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33</w:t>
            </w:r>
          </w:p>
        </w:tc>
        <w:tc>
          <w:tcPr>
            <w:tcW w:w="850" w:type="dxa"/>
            <w:shd w:val="clear" w:color="auto" w:fill="auto"/>
            <w:noWrap/>
            <w:vAlign w:val="bottom"/>
            <w:hideMark/>
          </w:tcPr>
          <w:p w14:paraId="650C88DF"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30</w:t>
            </w:r>
          </w:p>
        </w:tc>
        <w:tc>
          <w:tcPr>
            <w:tcW w:w="1087" w:type="dxa"/>
            <w:shd w:val="clear" w:color="auto" w:fill="auto"/>
            <w:noWrap/>
            <w:vAlign w:val="bottom"/>
            <w:hideMark/>
          </w:tcPr>
          <w:p w14:paraId="2CEBB07C"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25</w:t>
            </w:r>
          </w:p>
        </w:tc>
      </w:tr>
      <w:tr w:rsidR="00AC22B3" w:rsidRPr="0019356D" w14:paraId="74FA03B4" w14:textId="77777777" w:rsidTr="00C76348">
        <w:trPr>
          <w:trHeight w:val="255"/>
        </w:trPr>
        <w:tc>
          <w:tcPr>
            <w:tcW w:w="2268" w:type="dxa"/>
            <w:shd w:val="clear" w:color="auto" w:fill="auto"/>
            <w:noWrap/>
            <w:vAlign w:val="bottom"/>
            <w:hideMark/>
          </w:tcPr>
          <w:p w14:paraId="3677D5CD"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10</w:t>
            </w:r>
          </w:p>
        </w:tc>
        <w:tc>
          <w:tcPr>
            <w:tcW w:w="704" w:type="dxa"/>
            <w:shd w:val="clear" w:color="auto" w:fill="auto"/>
            <w:noWrap/>
            <w:vAlign w:val="bottom"/>
            <w:hideMark/>
          </w:tcPr>
          <w:p w14:paraId="175AC7F9"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21</w:t>
            </w:r>
          </w:p>
        </w:tc>
        <w:tc>
          <w:tcPr>
            <w:tcW w:w="796" w:type="dxa"/>
            <w:shd w:val="clear" w:color="auto" w:fill="auto"/>
            <w:noWrap/>
            <w:vAlign w:val="bottom"/>
            <w:hideMark/>
          </w:tcPr>
          <w:p w14:paraId="10B6541B"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24</w:t>
            </w:r>
          </w:p>
        </w:tc>
        <w:tc>
          <w:tcPr>
            <w:tcW w:w="601" w:type="dxa"/>
            <w:shd w:val="clear" w:color="auto" w:fill="auto"/>
            <w:noWrap/>
            <w:vAlign w:val="bottom"/>
            <w:hideMark/>
          </w:tcPr>
          <w:p w14:paraId="3DC54F93"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28</w:t>
            </w:r>
          </w:p>
        </w:tc>
        <w:tc>
          <w:tcPr>
            <w:tcW w:w="734" w:type="dxa"/>
            <w:shd w:val="clear" w:color="auto" w:fill="auto"/>
            <w:noWrap/>
            <w:vAlign w:val="bottom"/>
            <w:hideMark/>
          </w:tcPr>
          <w:p w14:paraId="558A83FB"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33</w:t>
            </w:r>
          </w:p>
        </w:tc>
        <w:tc>
          <w:tcPr>
            <w:tcW w:w="752" w:type="dxa"/>
            <w:shd w:val="clear" w:color="auto" w:fill="auto"/>
            <w:noWrap/>
            <w:vAlign w:val="bottom"/>
            <w:hideMark/>
          </w:tcPr>
          <w:p w14:paraId="3DF61C42"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38</w:t>
            </w:r>
          </w:p>
        </w:tc>
        <w:tc>
          <w:tcPr>
            <w:tcW w:w="750" w:type="dxa"/>
            <w:shd w:val="clear" w:color="auto" w:fill="auto"/>
            <w:noWrap/>
            <w:vAlign w:val="bottom"/>
            <w:hideMark/>
          </w:tcPr>
          <w:p w14:paraId="25A6F548"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36</w:t>
            </w:r>
          </w:p>
        </w:tc>
        <w:tc>
          <w:tcPr>
            <w:tcW w:w="850" w:type="dxa"/>
            <w:shd w:val="clear" w:color="auto" w:fill="auto"/>
            <w:noWrap/>
            <w:vAlign w:val="bottom"/>
            <w:hideMark/>
          </w:tcPr>
          <w:p w14:paraId="111C94D0"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33</w:t>
            </w:r>
          </w:p>
        </w:tc>
        <w:tc>
          <w:tcPr>
            <w:tcW w:w="1087" w:type="dxa"/>
            <w:shd w:val="clear" w:color="auto" w:fill="auto"/>
            <w:noWrap/>
            <w:vAlign w:val="bottom"/>
            <w:hideMark/>
          </w:tcPr>
          <w:p w14:paraId="1085B83F"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28</w:t>
            </w:r>
          </w:p>
        </w:tc>
      </w:tr>
      <w:tr w:rsidR="00AC22B3" w:rsidRPr="0019356D" w14:paraId="690D04E2" w14:textId="77777777" w:rsidTr="00C76348">
        <w:trPr>
          <w:trHeight w:val="255"/>
        </w:trPr>
        <w:tc>
          <w:tcPr>
            <w:tcW w:w="2268" w:type="dxa"/>
            <w:shd w:val="clear" w:color="auto" w:fill="auto"/>
            <w:noWrap/>
            <w:vAlign w:val="bottom"/>
            <w:hideMark/>
          </w:tcPr>
          <w:p w14:paraId="366D00C9"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15</w:t>
            </w:r>
          </w:p>
        </w:tc>
        <w:tc>
          <w:tcPr>
            <w:tcW w:w="704" w:type="dxa"/>
            <w:shd w:val="clear" w:color="auto" w:fill="auto"/>
            <w:noWrap/>
            <w:vAlign w:val="bottom"/>
            <w:hideMark/>
          </w:tcPr>
          <w:p w14:paraId="0C15854B"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22</w:t>
            </w:r>
          </w:p>
        </w:tc>
        <w:tc>
          <w:tcPr>
            <w:tcW w:w="796" w:type="dxa"/>
            <w:shd w:val="clear" w:color="auto" w:fill="auto"/>
            <w:noWrap/>
            <w:vAlign w:val="bottom"/>
            <w:hideMark/>
          </w:tcPr>
          <w:p w14:paraId="30A733C9"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25</w:t>
            </w:r>
          </w:p>
        </w:tc>
        <w:tc>
          <w:tcPr>
            <w:tcW w:w="601" w:type="dxa"/>
            <w:shd w:val="clear" w:color="auto" w:fill="auto"/>
            <w:noWrap/>
            <w:vAlign w:val="bottom"/>
            <w:hideMark/>
          </w:tcPr>
          <w:p w14:paraId="197A7FF0"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30</w:t>
            </w:r>
          </w:p>
        </w:tc>
        <w:tc>
          <w:tcPr>
            <w:tcW w:w="734" w:type="dxa"/>
            <w:shd w:val="clear" w:color="auto" w:fill="auto"/>
            <w:noWrap/>
            <w:vAlign w:val="bottom"/>
            <w:hideMark/>
          </w:tcPr>
          <w:p w14:paraId="0B8ACC78"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36</w:t>
            </w:r>
          </w:p>
        </w:tc>
        <w:tc>
          <w:tcPr>
            <w:tcW w:w="752" w:type="dxa"/>
            <w:shd w:val="clear" w:color="auto" w:fill="auto"/>
            <w:noWrap/>
            <w:vAlign w:val="bottom"/>
            <w:hideMark/>
          </w:tcPr>
          <w:p w14:paraId="66D2C67F"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41</w:t>
            </w:r>
          </w:p>
        </w:tc>
        <w:tc>
          <w:tcPr>
            <w:tcW w:w="750" w:type="dxa"/>
            <w:shd w:val="clear" w:color="auto" w:fill="auto"/>
            <w:noWrap/>
            <w:vAlign w:val="bottom"/>
            <w:hideMark/>
          </w:tcPr>
          <w:p w14:paraId="3F15EB1A"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39</w:t>
            </w:r>
          </w:p>
        </w:tc>
        <w:tc>
          <w:tcPr>
            <w:tcW w:w="850" w:type="dxa"/>
            <w:shd w:val="clear" w:color="auto" w:fill="auto"/>
            <w:noWrap/>
            <w:vAlign w:val="bottom"/>
            <w:hideMark/>
          </w:tcPr>
          <w:p w14:paraId="46E90CAD"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35</w:t>
            </w:r>
          </w:p>
        </w:tc>
        <w:tc>
          <w:tcPr>
            <w:tcW w:w="1087" w:type="dxa"/>
            <w:shd w:val="clear" w:color="auto" w:fill="auto"/>
            <w:noWrap/>
            <w:vAlign w:val="bottom"/>
            <w:hideMark/>
          </w:tcPr>
          <w:p w14:paraId="75982694"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30</w:t>
            </w:r>
          </w:p>
        </w:tc>
      </w:tr>
      <w:tr w:rsidR="00AC22B3" w:rsidRPr="0019356D" w14:paraId="1C3411E3" w14:textId="77777777" w:rsidTr="00C76348">
        <w:trPr>
          <w:trHeight w:val="255"/>
        </w:trPr>
        <w:tc>
          <w:tcPr>
            <w:tcW w:w="2268" w:type="dxa"/>
            <w:shd w:val="clear" w:color="auto" w:fill="auto"/>
            <w:noWrap/>
            <w:vAlign w:val="bottom"/>
            <w:hideMark/>
          </w:tcPr>
          <w:p w14:paraId="33813B87"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25</w:t>
            </w:r>
          </w:p>
        </w:tc>
        <w:tc>
          <w:tcPr>
            <w:tcW w:w="704" w:type="dxa"/>
            <w:shd w:val="clear" w:color="auto" w:fill="auto"/>
            <w:noWrap/>
            <w:vAlign w:val="bottom"/>
            <w:hideMark/>
          </w:tcPr>
          <w:p w14:paraId="3AB6035B"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23</w:t>
            </w:r>
          </w:p>
        </w:tc>
        <w:tc>
          <w:tcPr>
            <w:tcW w:w="796" w:type="dxa"/>
            <w:shd w:val="clear" w:color="auto" w:fill="auto"/>
            <w:noWrap/>
            <w:vAlign w:val="bottom"/>
            <w:hideMark/>
          </w:tcPr>
          <w:p w14:paraId="73AB898E"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27</w:t>
            </w:r>
          </w:p>
        </w:tc>
        <w:tc>
          <w:tcPr>
            <w:tcW w:w="601" w:type="dxa"/>
            <w:shd w:val="clear" w:color="auto" w:fill="auto"/>
            <w:noWrap/>
            <w:vAlign w:val="bottom"/>
            <w:hideMark/>
          </w:tcPr>
          <w:p w14:paraId="16C90214"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33</w:t>
            </w:r>
          </w:p>
        </w:tc>
        <w:tc>
          <w:tcPr>
            <w:tcW w:w="734" w:type="dxa"/>
            <w:shd w:val="clear" w:color="auto" w:fill="auto"/>
            <w:noWrap/>
            <w:vAlign w:val="bottom"/>
            <w:hideMark/>
          </w:tcPr>
          <w:p w14:paraId="3861658D"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39</w:t>
            </w:r>
          </w:p>
        </w:tc>
        <w:tc>
          <w:tcPr>
            <w:tcW w:w="752" w:type="dxa"/>
            <w:shd w:val="clear" w:color="auto" w:fill="auto"/>
            <w:noWrap/>
            <w:vAlign w:val="bottom"/>
            <w:hideMark/>
          </w:tcPr>
          <w:p w14:paraId="0B81931D"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44</w:t>
            </w:r>
          </w:p>
        </w:tc>
        <w:tc>
          <w:tcPr>
            <w:tcW w:w="750" w:type="dxa"/>
            <w:shd w:val="clear" w:color="auto" w:fill="auto"/>
            <w:noWrap/>
            <w:vAlign w:val="bottom"/>
            <w:hideMark/>
          </w:tcPr>
          <w:p w14:paraId="04F57E8E"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42</w:t>
            </w:r>
          </w:p>
        </w:tc>
        <w:tc>
          <w:tcPr>
            <w:tcW w:w="850" w:type="dxa"/>
            <w:shd w:val="clear" w:color="auto" w:fill="auto"/>
            <w:noWrap/>
            <w:vAlign w:val="bottom"/>
            <w:hideMark/>
          </w:tcPr>
          <w:p w14:paraId="5904B7D8"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38</w:t>
            </w:r>
          </w:p>
        </w:tc>
        <w:tc>
          <w:tcPr>
            <w:tcW w:w="1087" w:type="dxa"/>
            <w:shd w:val="clear" w:color="auto" w:fill="auto"/>
            <w:noWrap/>
            <w:vAlign w:val="bottom"/>
            <w:hideMark/>
          </w:tcPr>
          <w:p w14:paraId="250DC465"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33</w:t>
            </w:r>
          </w:p>
        </w:tc>
      </w:tr>
      <w:tr w:rsidR="00AC22B3" w:rsidRPr="0019356D" w14:paraId="402A443F" w14:textId="77777777" w:rsidTr="00C76348">
        <w:trPr>
          <w:trHeight w:val="255"/>
        </w:trPr>
        <w:tc>
          <w:tcPr>
            <w:tcW w:w="2268" w:type="dxa"/>
            <w:shd w:val="clear" w:color="auto" w:fill="auto"/>
            <w:noWrap/>
            <w:vAlign w:val="bottom"/>
            <w:hideMark/>
          </w:tcPr>
          <w:p w14:paraId="149EF7FA"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50</w:t>
            </w:r>
          </w:p>
        </w:tc>
        <w:tc>
          <w:tcPr>
            <w:tcW w:w="704" w:type="dxa"/>
            <w:shd w:val="clear" w:color="auto" w:fill="auto"/>
            <w:noWrap/>
            <w:vAlign w:val="bottom"/>
            <w:hideMark/>
          </w:tcPr>
          <w:p w14:paraId="44484B53"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26</w:t>
            </w:r>
          </w:p>
        </w:tc>
        <w:tc>
          <w:tcPr>
            <w:tcW w:w="796" w:type="dxa"/>
            <w:shd w:val="clear" w:color="auto" w:fill="auto"/>
            <w:noWrap/>
            <w:vAlign w:val="bottom"/>
            <w:hideMark/>
          </w:tcPr>
          <w:p w14:paraId="247E8FD0"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30</w:t>
            </w:r>
          </w:p>
        </w:tc>
        <w:tc>
          <w:tcPr>
            <w:tcW w:w="601" w:type="dxa"/>
            <w:shd w:val="clear" w:color="auto" w:fill="auto"/>
            <w:noWrap/>
            <w:vAlign w:val="bottom"/>
            <w:hideMark/>
          </w:tcPr>
          <w:p w14:paraId="265FDE2E"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38</w:t>
            </w:r>
          </w:p>
        </w:tc>
        <w:tc>
          <w:tcPr>
            <w:tcW w:w="734" w:type="dxa"/>
            <w:shd w:val="clear" w:color="auto" w:fill="auto"/>
            <w:noWrap/>
            <w:vAlign w:val="bottom"/>
            <w:hideMark/>
          </w:tcPr>
          <w:p w14:paraId="46DB465B"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45</w:t>
            </w:r>
          </w:p>
        </w:tc>
        <w:tc>
          <w:tcPr>
            <w:tcW w:w="752" w:type="dxa"/>
            <w:shd w:val="clear" w:color="auto" w:fill="auto"/>
            <w:noWrap/>
            <w:vAlign w:val="bottom"/>
            <w:hideMark/>
          </w:tcPr>
          <w:p w14:paraId="6526DB03"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51</w:t>
            </w:r>
          </w:p>
        </w:tc>
        <w:tc>
          <w:tcPr>
            <w:tcW w:w="750" w:type="dxa"/>
            <w:shd w:val="clear" w:color="auto" w:fill="auto"/>
            <w:noWrap/>
            <w:vAlign w:val="bottom"/>
            <w:hideMark/>
          </w:tcPr>
          <w:p w14:paraId="1EACE6A5"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49</w:t>
            </w:r>
          </w:p>
        </w:tc>
        <w:tc>
          <w:tcPr>
            <w:tcW w:w="850" w:type="dxa"/>
            <w:shd w:val="clear" w:color="auto" w:fill="auto"/>
            <w:noWrap/>
            <w:vAlign w:val="bottom"/>
            <w:hideMark/>
          </w:tcPr>
          <w:p w14:paraId="6A1918A3"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44</w:t>
            </w:r>
          </w:p>
        </w:tc>
        <w:tc>
          <w:tcPr>
            <w:tcW w:w="1087" w:type="dxa"/>
            <w:shd w:val="clear" w:color="auto" w:fill="auto"/>
            <w:noWrap/>
            <w:vAlign w:val="bottom"/>
            <w:hideMark/>
          </w:tcPr>
          <w:p w14:paraId="5FD3171B"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39</w:t>
            </w:r>
          </w:p>
        </w:tc>
      </w:tr>
      <w:tr w:rsidR="00AC22B3" w:rsidRPr="0019356D" w14:paraId="4BF03417" w14:textId="77777777" w:rsidTr="00C76348">
        <w:trPr>
          <w:trHeight w:val="255"/>
        </w:trPr>
        <w:tc>
          <w:tcPr>
            <w:tcW w:w="2268" w:type="dxa"/>
            <w:shd w:val="clear" w:color="auto" w:fill="auto"/>
            <w:noWrap/>
            <w:vAlign w:val="bottom"/>
            <w:hideMark/>
          </w:tcPr>
          <w:p w14:paraId="3088EBC5"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75</w:t>
            </w:r>
          </w:p>
        </w:tc>
        <w:tc>
          <w:tcPr>
            <w:tcW w:w="704" w:type="dxa"/>
            <w:shd w:val="clear" w:color="auto" w:fill="auto"/>
            <w:noWrap/>
            <w:vAlign w:val="bottom"/>
            <w:hideMark/>
          </w:tcPr>
          <w:p w14:paraId="48A33893"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30</w:t>
            </w:r>
          </w:p>
        </w:tc>
        <w:tc>
          <w:tcPr>
            <w:tcW w:w="796" w:type="dxa"/>
            <w:shd w:val="clear" w:color="auto" w:fill="auto"/>
            <w:noWrap/>
            <w:vAlign w:val="bottom"/>
            <w:hideMark/>
          </w:tcPr>
          <w:p w14:paraId="38BE41EF"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34</w:t>
            </w:r>
          </w:p>
        </w:tc>
        <w:tc>
          <w:tcPr>
            <w:tcW w:w="601" w:type="dxa"/>
            <w:shd w:val="clear" w:color="auto" w:fill="auto"/>
            <w:noWrap/>
            <w:vAlign w:val="bottom"/>
            <w:hideMark/>
          </w:tcPr>
          <w:p w14:paraId="75F44231"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45</w:t>
            </w:r>
          </w:p>
        </w:tc>
        <w:tc>
          <w:tcPr>
            <w:tcW w:w="734" w:type="dxa"/>
            <w:shd w:val="clear" w:color="auto" w:fill="auto"/>
            <w:noWrap/>
            <w:vAlign w:val="bottom"/>
            <w:hideMark/>
          </w:tcPr>
          <w:p w14:paraId="369C3FDF"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52</w:t>
            </w:r>
          </w:p>
        </w:tc>
        <w:tc>
          <w:tcPr>
            <w:tcW w:w="752" w:type="dxa"/>
            <w:shd w:val="clear" w:color="auto" w:fill="auto"/>
            <w:noWrap/>
            <w:vAlign w:val="bottom"/>
            <w:hideMark/>
          </w:tcPr>
          <w:p w14:paraId="234B2169"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59</w:t>
            </w:r>
          </w:p>
        </w:tc>
        <w:tc>
          <w:tcPr>
            <w:tcW w:w="750" w:type="dxa"/>
            <w:shd w:val="clear" w:color="auto" w:fill="auto"/>
            <w:noWrap/>
            <w:vAlign w:val="bottom"/>
            <w:hideMark/>
          </w:tcPr>
          <w:p w14:paraId="144D72FE"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56</w:t>
            </w:r>
          </w:p>
        </w:tc>
        <w:tc>
          <w:tcPr>
            <w:tcW w:w="850" w:type="dxa"/>
            <w:shd w:val="clear" w:color="auto" w:fill="auto"/>
            <w:noWrap/>
            <w:vAlign w:val="bottom"/>
            <w:hideMark/>
          </w:tcPr>
          <w:p w14:paraId="7A413670"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51</w:t>
            </w:r>
          </w:p>
        </w:tc>
        <w:tc>
          <w:tcPr>
            <w:tcW w:w="1087" w:type="dxa"/>
            <w:shd w:val="clear" w:color="auto" w:fill="auto"/>
            <w:noWrap/>
            <w:vAlign w:val="bottom"/>
            <w:hideMark/>
          </w:tcPr>
          <w:p w14:paraId="32D2616C"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45</w:t>
            </w:r>
          </w:p>
        </w:tc>
      </w:tr>
      <w:tr w:rsidR="00AC22B3" w:rsidRPr="0019356D" w14:paraId="73CB5AD7" w14:textId="77777777" w:rsidTr="00C76348">
        <w:trPr>
          <w:trHeight w:val="255"/>
        </w:trPr>
        <w:tc>
          <w:tcPr>
            <w:tcW w:w="2268" w:type="dxa"/>
            <w:shd w:val="clear" w:color="auto" w:fill="auto"/>
            <w:noWrap/>
            <w:vAlign w:val="bottom"/>
            <w:hideMark/>
          </w:tcPr>
          <w:p w14:paraId="590B379C"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85</w:t>
            </w:r>
          </w:p>
        </w:tc>
        <w:tc>
          <w:tcPr>
            <w:tcW w:w="704" w:type="dxa"/>
            <w:shd w:val="clear" w:color="auto" w:fill="auto"/>
            <w:noWrap/>
            <w:vAlign w:val="bottom"/>
            <w:hideMark/>
          </w:tcPr>
          <w:p w14:paraId="16BB414F"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31</w:t>
            </w:r>
          </w:p>
        </w:tc>
        <w:tc>
          <w:tcPr>
            <w:tcW w:w="796" w:type="dxa"/>
            <w:shd w:val="clear" w:color="auto" w:fill="auto"/>
            <w:noWrap/>
            <w:vAlign w:val="bottom"/>
            <w:hideMark/>
          </w:tcPr>
          <w:p w14:paraId="28C540A7"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36</w:t>
            </w:r>
          </w:p>
        </w:tc>
        <w:tc>
          <w:tcPr>
            <w:tcW w:w="601" w:type="dxa"/>
            <w:shd w:val="clear" w:color="auto" w:fill="auto"/>
            <w:noWrap/>
            <w:vAlign w:val="bottom"/>
            <w:hideMark/>
          </w:tcPr>
          <w:p w14:paraId="324E0F0D"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49</w:t>
            </w:r>
          </w:p>
        </w:tc>
        <w:tc>
          <w:tcPr>
            <w:tcW w:w="734" w:type="dxa"/>
            <w:shd w:val="clear" w:color="auto" w:fill="auto"/>
            <w:noWrap/>
            <w:vAlign w:val="bottom"/>
            <w:hideMark/>
          </w:tcPr>
          <w:p w14:paraId="77A42B07"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56</w:t>
            </w:r>
          </w:p>
        </w:tc>
        <w:tc>
          <w:tcPr>
            <w:tcW w:w="752" w:type="dxa"/>
            <w:shd w:val="clear" w:color="auto" w:fill="auto"/>
            <w:noWrap/>
            <w:vAlign w:val="bottom"/>
            <w:hideMark/>
          </w:tcPr>
          <w:p w14:paraId="7013AC6B"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63</w:t>
            </w:r>
          </w:p>
        </w:tc>
        <w:tc>
          <w:tcPr>
            <w:tcW w:w="750" w:type="dxa"/>
            <w:shd w:val="clear" w:color="auto" w:fill="auto"/>
            <w:noWrap/>
            <w:vAlign w:val="bottom"/>
            <w:hideMark/>
          </w:tcPr>
          <w:p w14:paraId="3DCA6EE5"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60</w:t>
            </w:r>
          </w:p>
        </w:tc>
        <w:tc>
          <w:tcPr>
            <w:tcW w:w="850" w:type="dxa"/>
            <w:shd w:val="clear" w:color="auto" w:fill="auto"/>
            <w:noWrap/>
            <w:vAlign w:val="bottom"/>
            <w:hideMark/>
          </w:tcPr>
          <w:p w14:paraId="1A0D21EF"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55</w:t>
            </w:r>
          </w:p>
        </w:tc>
        <w:tc>
          <w:tcPr>
            <w:tcW w:w="1087" w:type="dxa"/>
            <w:shd w:val="clear" w:color="auto" w:fill="auto"/>
            <w:noWrap/>
            <w:vAlign w:val="bottom"/>
            <w:hideMark/>
          </w:tcPr>
          <w:p w14:paraId="04DB8008"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49</w:t>
            </w:r>
          </w:p>
        </w:tc>
      </w:tr>
      <w:tr w:rsidR="00AC22B3" w:rsidRPr="0019356D" w14:paraId="0D0CD197" w14:textId="77777777" w:rsidTr="00C76348">
        <w:trPr>
          <w:trHeight w:val="255"/>
        </w:trPr>
        <w:tc>
          <w:tcPr>
            <w:tcW w:w="2268" w:type="dxa"/>
            <w:shd w:val="clear" w:color="auto" w:fill="auto"/>
            <w:noWrap/>
            <w:vAlign w:val="bottom"/>
            <w:hideMark/>
          </w:tcPr>
          <w:p w14:paraId="5B68E330"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90</w:t>
            </w:r>
          </w:p>
        </w:tc>
        <w:tc>
          <w:tcPr>
            <w:tcW w:w="704" w:type="dxa"/>
            <w:shd w:val="clear" w:color="auto" w:fill="auto"/>
            <w:noWrap/>
            <w:vAlign w:val="bottom"/>
            <w:hideMark/>
          </w:tcPr>
          <w:p w14:paraId="00008C4B"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33</w:t>
            </w:r>
          </w:p>
        </w:tc>
        <w:tc>
          <w:tcPr>
            <w:tcW w:w="796" w:type="dxa"/>
            <w:shd w:val="clear" w:color="auto" w:fill="auto"/>
            <w:noWrap/>
            <w:vAlign w:val="bottom"/>
            <w:hideMark/>
          </w:tcPr>
          <w:p w14:paraId="3012C3E2"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38</w:t>
            </w:r>
          </w:p>
        </w:tc>
        <w:tc>
          <w:tcPr>
            <w:tcW w:w="601" w:type="dxa"/>
            <w:shd w:val="clear" w:color="auto" w:fill="auto"/>
            <w:noWrap/>
            <w:vAlign w:val="bottom"/>
            <w:hideMark/>
          </w:tcPr>
          <w:p w14:paraId="5AF17624"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51</w:t>
            </w:r>
          </w:p>
        </w:tc>
        <w:tc>
          <w:tcPr>
            <w:tcW w:w="734" w:type="dxa"/>
            <w:shd w:val="clear" w:color="auto" w:fill="auto"/>
            <w:noWrap/>
            <w:vAlign w:val="bottom"/>
            <w:hideMark/>
          </w:tcPr>
          <w:p w14:paraId="7C4E1DD0"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59</w:t>
            </w:r>
          </w:p>
        </w:tc>
        <w:tc>
          <w:tcPr>
            <w:tcW w:w="752" w:type="dxa"/>
            <w:shd w:val="clear" w:color="auto" w:fill="auto"/>
            <w:noWrap/>
            <w:vAlign w:val="bottom"/>
            <w:hideMark/>
          </w:tcPr>
          <w:p w14:paraId="5BDAB37D"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66</w:t>
            </w:r>
          </w:p>
        </w:tc>
        <w:tc>
          <w:tcPr>
            <w:tcW w:w="750" w:type="dxa"/>
            <w:shd w:val="clear" w:color="auto" w:fill="auto"/>
            <w:noWrap/>
            <w:vAlign w:val="bottom"/>
            <w:hideMark/>
          </w:tcPr>
          <w:p w14:paraId="7024B739"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63</w:t>
            </w:r>
          </w:p>
        </w:tc>
        <w:tc>
          <w:tcPr>
            <w:tcW w:w="850" w:type="dxa"/>
            <w:shd w:val="clear" w:color="auto" w:fill="auto"/>
            <w:noWrap/>
            <w:vAlign w:val="bottom"/>
            <w:hideMark/>
          </w:tcPr>
          <w:p w14:paraId="4B95E65D"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58</w:t>
            </w:r>
          </w:p>
        </w:tc>
        <w:tc>
          <w:tcPr>
            <w:tcW w:w="1087" w:type="dxa"/>
            <w:shd w:val="clear" w:color="auto" w:fill="auto"/>
            <w:noWrap/>
            <w:vAlign w:val="bottom"/>
            <w:hideMark/>
          </w:tcPr>
          <w:p w14:paraId="50B363E9"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51</w:t>
            </w:r>
          </w:p>
        </w:tc>
      </w:tr>
      <w:tr w:rsidR="00AC22B3" w:rsidRPr="0019356D" w14:paraId="2C9BA8A6" w14:textId="77777777" w:rsidTr="00C76348">
        <w:trPr>
          <w:trHeight w:val="255"/>
        </w:trPr>
        <w:tc>
          <w:tcPr>
            <w:tcW w:w="2268" w:type="dxa"/>
            <w:shd w:val="clear" w:color="auto" w:fill="auto"/>
            <w:noWrap/>
            <w:vAlign w:val="bottom"/>
            <w:hideMark/>
          </w:tcPr>
          <w:p w14:paraId="3FD14F91"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95</w:t>
            </w:r>
          </w:p>
        </w:tc>
        <w:tc>
          <w:tcPr>
            <w:tcW w:w="704" w:type="dxa"/>
            <w:shd w:val="clear" w:color="auto" w:fill="auto"/>
            <w:noWrap/>
            <w:vAlign w:val="bottom"/>
            <w:hideMark/>
          </w:tcPr>
          <w:p w14:paraId="2E0A30D7"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35</w:t>
            </w:r>
          </w:p>
        </w:tc>
        <w:tc>
          <w:tcPr>
            <w:tcW w:w="796" w:type="dxa"/>
            <w:shd w:val="clear" w:color="auto" w:fill="auto"/>
            <w:noWrap/>
            <w:vAlign w:val="bottom"/>
            <w:hideMark/>
          </w:tcPr>
          <w:p w14:paraId="580070C9"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40</w:t>
            </w:r>
          </w:p>
        </w:tc>
        <w:tc>
          <w:tcPr>
            <w:tcW w:w="601" w:type="dxa"/>
            <w:shd w:val="clear" w:color="auto" w:fill="auto"/>
            <w:noWrap/>
            <w:vAlign w:val="bottom"/>
            <w:hideMark/>
          </w:tcPr>
          <w:p w14:paraId="23F3B034"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55</w:t>
            </w:r>
          </w:p>
        </w:tc>
        <w:tc>
          <w:tcPr>
            <w:tcW w:w="734" w:type="dxa"/>
            <w:shd w:val="clear" w:color="auto" w:fill="auto"/>
            <w:noWrap/>
            <w:vAlign w:val="bottom"/>
            <w:hideMark/>
          </w:tcPr>
          <w:p w14:paraId="56BB84EB"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63</w:t>
            </w:r>
          </w:p>
        </w:tc>
        <w:tc>
          <w:tcPr>
            <w:tcW w:w="752" w:type="dxa"/>
            <w:shd w:val="clear" w:color="auto" w:fill="auto"/>
            <w:noWrap/>
            <w:vAlign w:val="bottom"/>
            <w:hideMark/>
          </w:tcPr>
          <w:p w14:paraId="72E716E4"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70</w:t>
            </w:r>
          </w:p>
        </w:tc>
        <w:tc>
          <w:tcPr>
            <w:tcW w:w="750" w:type="dxa"/>
            <w:shd w:val="clear" w:color="auto" w:fill="auto"/>
            <w:noWrap/>
            <w:vAlign w:val="bottom"/>
            <w:hideMark/>
          </w:tcPr>
          <w:p w14:paraId="26661BC5"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68</w:t>
            </w:r>
          </w:p>
        </w:tc>
        <w:tc>
          <w:tcPr>
            <w:tcW w:w="850" w:type="dxa"/>
            <w:shd w:val="clear" w:color="auto" w:fill="auto"/>
            <w:noWrap/>
            <w:vAlign w:val="bottom"/>
            <w:hideMark/>
          </w:tcPr>
          <w:p w14:paraId="3644209F"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62</w:t>
            </w:r>
          </w:p>
        </w:tc>
        <w:tc>
          <w:tcPr>
            <w:tcW w:w="1087" w:type="dxa"/>
            <w:shd w:val="clear" w:color="auto" w:fill="auto"/>
            <w:noWrap/>
            <w:vAlign w:val="bottom"/>
            <w:hideMark/>
          </w:tcPr>
          <w:p w14:paraId="6EA4353F"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55</w:t>
            </w:r>
          </w:p>
        </w:tc>
      </w:tr>
      <w:tr w:rsidR="00AC22B3" w:rsidRPr="0019356D" w14:paraId="3535A8B5" w14:textId="77777777" w:rsidTr="00C76348">
        <w:trPr>
          <w:trHeight w:val="255"/>
        </w:trPr>
        <w:tc>
          <w:tcPr>
            <w:tcW w:w="2268" w:type="dxa"/>
            <w:shd w:val="clear" w:color="auto" w:fill="auto"/>
            <w:noWrap/>
            <w:vAlign w:val="bottom"/>
            <w:hideMark/>
          </w:tcPr>
          <w:p w14:paraId="6AA1BE65" w14:textId="77777777" w:rsidR="00AC22B3" w:rsidRPr="0019356D" w:rsidRDefault="00AC22B3" w:rsidP="001B3BD4">
            <w:pPr>
              <w:widowControl/>
              <w:jc w:val="right"/>
              <w:rPr>
                <w:rFonts w:cs="Arial"/>
                <w:color w:val="000000"/>
                <w:sz w:val="16"/>
                <w:szCs w:val="16"/>
                <w:lang w:eastAsia="en-GB" w:bidi="ar-SA"/>
              </w:rPr>
            </w:pPr>
          </w:p>
        </w:tc>
        <w:tc>
          <w:tcPr>
            <w:tcW w:w="704" w:type="dxa"/>
            <w:shd w:val="clear" w:color="auto" w:fill="auto"/>
            <w:noWrap/>
            <w:vAlign w:val="bottom"/>
            <w:hideMark/>
          </w:tcPr>
          <w:p w14:paraId="04059E65" w14:textId="77777777" w:rsidR="00AC22B3" w:rsidRPr="0019356D" w:rsidRDefault="00AC22B3" w:rsidP="001B3BD4">
            <w:pPr>
              <w:widowControl/>
              <w:ind w:firstLineChars="100" w:firstLine="200"/>
              <w:rPr>
                <w:rFonts w:ascii="Times New Roman" w:hAnsi="Times New Roman"/>
                <w:sz w:val="20"/>
                <w:szCs w:val="20"/>
                <w:lang w:eastAsia="en-GB" w:bidi="ar-SA"/>
              </w:rPr>
            </w:pPr>
          </w:p>
        </w:tc>
        <w:tc>
          <w:tcPr>
            <w:tcW w:w="796" w:type="dxa"/>
            <w:shd w:val="clear" w:color="auto" w:fill="auto"/>
            <w:noWrap/>
            <w:vAlign w:val="bottom"/>
            <w:hideMark/>
          </w:tcPr>
          <w:p w14:paraId="669A442F" w14:textId="77777777" w:rsidR="00AC22B3" w:rsidRPr="0019356D" w:rsidRDefault="00AC22B3" w:rsidP="001B3BD4">
            <w:pPr>
              <w:widowControl/>
              <w:rPr>
                <w:rFonts w:ascii="Times New Roman" w:hAnsi="Times New Roman"/>
                <w:sz w:val="20"/>
                <w:szCs w:val="20"/>
                <w:lang w:eastAsia="en-GB" w:bidi="ar-SA"/>
              </w:rPr>
            </w:pPr>
          </w:p>
        </w:tc>
        <w:tc>
          <w:tcPr>
            <w:tcW w:w="601" w:type="dxa"/>
            <w:shd w:val="clear" w:color="auto" w:fill="auto"/>
            <w:noWrap/>
            <w:vAlign w:val="bottom"/>
            <w:hideMark/>
          </w:tcPr>
          <w:p w14:paraId="4736A174" w14:textId="77777777" w:rsidR="00AC22B3" w:rsidRPr="0019356D" w:rsidRDefault="00AC22B3" w:rsidP="001B3BD4">
            <w:pPr>
              <w:widowControl/>
              <w:rPr>
                <w:rFonts w:ascii="Times New Roman" w:hAnsi="Times New Roman"/>
                <w:sz w:val="20"/>
                <w:szCs w:val="20"/>
                <w:lang w:eastAsia="en-GB" w:bidi="ar-SA"/>
              </w:rPr>
            </w:pPr>
          </w:p>
        </w:tc>
        <w:tc>
          <w:tcPr>
            <w:tcW w:w="734" w:type="dxa"/>
            <w:shd w:val="clear" w:color="auto" w:fill="auto"/>
            <w:noWrap/>
            <w:vAlign w:val="bottom"/>
            <w:hideMark/>
          </w:tcPr>
          <w:p w14:paraId="15DCCBF0" w14:textId="77777777" w:rsidR="00AC22B3" w:rsidRPr="0019356D" w:rsidRDefault="00AC22B3" w:rsidP="001B3BD4">
            <w:pPr>
              <w:widowControl/>
              <w:rPr>
                <w:rFonts w:ascii="Times New Roman" w:hAnsi="Times New Roman"/>
                <w:sz w:val="20"/>
                <w:szCs w:val="20"/>
                <w:lang w:eastAsia="en-GB" w:bidi="ar-SA"/>
              </w:rPr>
            </w:pPr>
          </w:p>
        </w:tc>
        <w:tc>
          <w:tcPr>
            <w:tcW w:w="752" w:type="dxa"/>
            <w:shd w:val="clear" w:color="auto" w:fill="auto"/>
            <w:noWrap/>
            <w:vAlign w:val="bottom"/>
            <w:hideMark/>
          </w:tcPr>
          <w:p w14:paraId="52888623" w14:textId="77777777" w:rsidR="00AC22B3" w:rsidRPr="0019356D" w:rsidRDefault="00AC22B3" w:rsidP="001B3BD4">
            <w:pPr>
              <w:widowControl/>
              <w:rPr>
                <w:rFonts w:ascii="Times New Roman" w:hAnsi="Times New Roman"/>
                <w:sz w:val="20"/>
                <w:szCs w:val="20"/>
                <w:lang w:eastAsia="en-GB" w:bidi="ar-SA"/>
              </w:rPr>
            </w:pPr>
          </w:p>
        </w:tc>
        <w:tc>
          <w:tcPr>
            <w:tcW w:w="750" w:type="dxa"/>
            <w:shd w:val="clear" w:color="auto" w:fill="auto"/>
            <w:noWrap/>
            <w:vAlign w:val="bottom"/>
            <w:hideMark/>
          </w:tcPr>
          <w:p w14:paraId="5A8EBF49" w14:textId="77777777" w:rsidR="00AC22B3" w:rsidRPr="0019356D" w:rsidRDefault="00AC22B3" w:rsidP="001B3BD4">
            <w:pPr>
              <w:widowControl/>
              <w:rPr>
                <w:rFonts w:ascii="Times New Roman" w:hAnsi="Times New Roman"/>
                <w:sz w:val="20"/>
                <w:szCs w:val="20"/>
                <w:lang w:eastAsia="en-GB" w:bidi="ar-SA"/>
              </w:rPr>
            </w:pPr>
          </w:p>
        </w:tc>
        <w:tc>
          <w:tcPr>
            <w:tcW w:w="850" w:type="dxa"/>
            <w:shd w:val="clear" w:color="auto" w:fill="auto"/>
            <w:noWrap/>
            <w:vAlign w:val="bottom"/>
            <w:hideMark/>
          </w:tcPr>
          <w:p w14:paraId="314D33CE" w14:textId="77777777" w:rsidR="00AC22B3" w:rsidRPr="0019356D" w:rsidRDefault="00AC22B3" w:rsidP="001B3BD4">
            <w:pPr>
              <w:widowControl/>
              <w:rPr>
                <w:rFonts w:ascii="Times New Roman" w:hAnsi="Times New Roman"/>
                <w:sz w:val="20"/>
                <w:szCs w:val="20"/>
                <w:lang w:eastAsia="en-GB" w:bidi="ar-SA"/>
              </w:rPr>
            </w:pPr>
          </w:p>
        </w:tc>
        <w:tc>
          <w:tcPr>
            <w:tcW w:w="1087" w:type="dxa"/>
            <w:shd w:val="clear" w:color="auto" w:fill="auto"/>
            <w:noWrap/>
            <w:vAlign w:val="bottom"/>
            <w:hideMark/>
          </w:tcPr>
          <w:p w14:paraId="79C928F8" w14:textId="77777777" w:rsidR="00AC22B3" w:rsidRPr="0019356D" w:rsidRDefault="00AC22B3" w:rsidP="001B3BD4">
            <w:pPr>
              <w:widowControl/>
              <w:rPr>
                <w:rFonts w:ascii="Times New Roman" w:hAnsi="Times New Roman"/>
                <w:sz w:val="20"/>
                <w:szCs w:val="20"/>
                <w:lang w:eastAsia="en-GB" w:bidi="ar-SA"/>
              </w:rPr>
            </w:pPr>
          </w:p>
        </w:tc>
      </w:tr>
      <w:tr w:rsidR="00AC22B3" w:rsidRPr="0019356D" w14:paraId="199BCFC9" w14:textId="77777777" w:rsidTr="00C76348">
        <w:trPr>
          <w:trHeight w:val="255"/>
        </w:trPr>
        <w:tc>
          <w:tcPr>
            <w:tcW w:w="2268" w:type="dxa"/>
            <w:shd w:val="clear" w:color="auto" w:fill="auto"/>
            <w:noWrap/>
            <w:vAlign w:val="bottom"/>
            <w:hideMark/>
          </w:tcPr>
          <w:p w14:paraId="6695EFE8"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Mean intake</w:t>
            </w:r>
          </w:p>
        </w:tc>
        <w:tc>
          <w:tcPr>
            <w:tcW w:w="704" w:type="dxa"/>
            <w:shd w:val="clear" w:color="auto" w:fill="auto"/>
            <w:noWrap/>
            <w:vAlign w:val="bottom"/>
            <w:hideMark/>
          </w:tcPr>
          <w:p w14:paraId="20476706"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26</w:t>
            </w:r>
          </w:p>
        </w:tc>
        <w:tc>
          <w:tcPr>
            <w:tcW w:w="796" w:type="dxa"/>
            <w:shd w:val="clear" w:color="auto" w:fill="auto"/>
            <w:noWrap/>
            <w:vAlign w:val="bottom"/>
            <w:hideMark/>
          </w:tcPr>
          <w:p w14:paraId="6E4813B7"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31</w:t>
            </w:r>
          </w:p>
        </w:tc>
        <w:tc>
          <w:tcPr>
            <w:tcW w:w="601" w:type="dxa"/>
            <w:shd w:val="clear" w:color="auto" w:fill="auto"/>
            <w:noWrap/>
            <w:vAlign w:val="bottom"/>
            <w:hideMark/>
          </w:tcPr>
          <w:p w14:paraId="5E2938B5"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39</w:t>
            </w:r>
          </w:p>
        </w:tc>
        <w:tc>
          <w:tcPr>
            <w:tcW w:w="734" w:type="dxa"/>
            <w:shd w:val="clear" w:color="auto" w:fill="auto"/>
            <w:noWrap/>
            <w:vAlign w:val="bottom"/>
            <w:hideMark/>
          </w:tcPr>
          <w:p w14:paraId="6E7160E0"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46</w:t>
            </w:r>
          </w:p>
        </w:tc>
        <w:tc>
          <w:tcPr>
            <w:tcW w:w="752" w:type="dxa"/>
            <w:shd w:val="clear" w:color="auto" w:fill="auto"/>
            <w:noWrap/>
            <w:vAlign w:val="bottom"/>
            <w:hideMark/>
          </w:tcPr>
          <w:p w14:paraId="0E9E6B83"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52</w:t>
            </w:r>
          </w:p>
        </w:tc>
        <w:tc>
          <w:tcPr>
            <w:tcW w:w="750" w:type="dxa"/>
            <w:shd w:val="clear" w:color="auto" w:fill="auto"/>
            <w:noWrap/>
            <w:vAlign w:val="bottom"/>
            <w:hideMark/>
          </w:tcPr>
          <w:p w14:paraId="6E8F370F"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49</w:t>
            </w:r>
          </w:p>
        </w:tc>
        <w:tc>
          <w:tcPr>
            <w:tcW w:w="850" w:type="dxa"/>
            <w:shd w:val="clear" w:color="auto" w:fill="auto"/>
            <w:noWrap/>
            <w:vAlign w:val="bottom"/>
            <w:hideMark/>
          </w:tcPr>
          <w:p w14:paraId="07403CAE"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45</w:t>
            </w:r>
          </w:p>
        </w:tc>
        <w:tc>
          <w:tcPr>
            <w:tcW w:w="1087" w:type="dxa"/>
            <w:shd w:val="clear" w:color="auto" w:fill="auto"/>
            <w:noWrap/>
            <w:vAlign w:val="bottom"/>
            <w:hideMark/>
          </w:tcPr>
          <w:p w14:paraId="466486FF"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39</w:t>
            </w:r>
          </w:p>
        </w:tc>
      </w:tr>
      <w:tr w:rsidR="00AC22B3" w:rsidRPr="0019356D" w14:paraId="2A1055F1" w14:textId="77777777" w:rsidTr="00C76348">
        <w:trPr>
          <w:trHeight w:val="255"/>
        </w:trPr>
        <w:tc>
          <w:tcPr>
            <w:tcW w:w="2268" w:type="dxa"/>
            <w:shd w:val="clear" w:color="auto" w:fill="auto"/>
            <w:noWrap/>
            <w:vAlign w:val="bottom"/>
            <w:hideMark/>
          </w:tcPr>
          <w:p w14:paraId="097F221F" w14:textId="77777777" w:rsidR="00AC22B3" w:rsidRPr="0019356D" w:rsidRDefault="00AC22B3" w:rsidP="001B3BD4">
            <w:pPr>
              <w:widowControl/>
              <w:jc w:val="right"/>
              <w:rPr>
                <w:rFonts w:cs="Arial"/>
                <w:color w:val="000000"/>
                <w:sz w:val="16"/>
                <w:szCs w:val="16"/>
                <w:lang w:eastAsia="en-GB" w:bidi="ar-SA"/>
              </w:rPr>
            </w:pPr>
          </w:p>
        </w:tc>
        <w:tc>
          <w:tcPr>
            <w:tcW w:w="704" w:type="dxa"/>
            <w:shd w:val="clear" w:color="auto" w:fill="auto"/>
            <w:noWrap/>
            <w:vAlign w:val="bottom"/>
            <w:hideMark/>
          </w:tcPr>
          <w:p w14:paraId="3371A2D3" w14:textId="77777777" w:rsidR="00AC22B3" w:rsidRPr="0019356D" w:rsidRDefault="00AC22B3" w:rsidP="001B3BD4">
            <w:pPr>
              <w:widowControl/>
              <w:rPr>
                <w:rFonts w:ascii="Times New Roman" w:hAnsi="Times New Roman"/>
                <w:sz w:val="20"/>
                <w:szCs w:val="20"/>
                <w:lang w:eastAsia="en-GB" w:bidi="ar-SA"/>
              </w:rPr>
            </w:pPr>
          </w:p>
        </w:tc>
        <w:tc>
          <w:tcPr>
            <w:tcW w:w="796" w:type="dxa"/>
            <w:shd w:val="clear" w:color="auto" w:fill="auto"/>
            <w:noWrap/>
            <w:vAlign w:val="bottom"/>
            <w:hideMark/>
          </w:tcPr>
          <w:p w14:paraId="29803C9D" w14:textId="77777777" w:rsidR="00AC22B3" w:rsidRPr="0019356D" w:rsidRDefault="00AC22B3" w:rsidP="001B3BD4">
            <w:pPr>
              <w:widowControl/>
              <w:rPr>
                <w:rFonts w:ascii="Times New Roman" w:hAnsi="Times New Roman"/>
                <w:sz w:val="20"/>
                <w:szCs w:val="20"/>
                <w:lang w:eastAsia="en-GB" w:bidi="ar-SA"/>
              </w:rPr>
            </w:pPr>
          </w:p>
        </w:tc>
        <w:tc>
          <w:tcPr>
            <w:tcW w:w="601" w:type="dxa"/>
            <w:shd w:val="clear" w:color="auto" w:fill="auto"/>
            <w:noWrap/>
            <w:vAlign w:val="bottom"/>
            <w:hideMark/>
          </w:tcPr>
          <w:p w14:paraId="37A22336" w14:textId="77777777" w:rsidR="00AC22B3" w:rsidRPr="0019356D" w:rsidRDefault="00AC22B3" w:rsidP="001B3BD4">
            <w:pPr>
              <w:widowControl/>
              <w:rPr>
                <w:rFonts w:ascii="Times New Roman" w:hAnsi="Times New Roman"/>
                <w:sz w:val="20"/>
                <w:szCs w:val="20"/>
                <w:lang w:eastAsia="en-GB" w:bidi="ar-SA"/>
              </w:rPr>
            </w:pPr>
          </w:p>
        </w:tc>
        <w:tc>
          <w:tcPr>
            <w:tcW w:w="734" w:type="dxa"/>
            <w:shd w:val="clear" w:color="auto" w:fill="auto"/>
            <w:noWrap/>
            <w:vAlign w:val="bottom"/>
            <w:hideMark/>
          </w:tcPr>
          <w:p w14:paraId="622D8FBA" w14:textId="77777777" w:rsidR="00AC22B3" w:rsidRPr="0019356D" w:rsidRDefault="00AC22B3" w:rsidP="001B3BD4">
            <w:pPr>
              <w:widowControl/>
              <w:rPr>
                <w:rFonts w:ascii="Times New Roman" w:hAnsi="Times New Roman"/>
                <w:sz w:val="20"/>
                <w:szCs w:val="20"/>
                <w:lang w:eastAsia="en-GB" w:bidi="ar-SA"/>
              </w:rPr>
            </w:pPr>
          </w:p>
        </w:tc>
        <w:tc>
          <w:tcPr>
            <w:tcW w:w="752" w:type="dxa"/>
            <w:shd w:val="clear" w:color="auto" w:fill="auto"/>
            <w:noWrap/>
            <w:vAlign w:val="bottom"/>
            <w:hideMark/>
          </w:tcPr>
          <w:p w14:paraId="08EFCCDB" w14:textId="77777777" w:rsidR="00AC22B3" w:rsidRPr="0019356D" w:rsidRDefault="00AC22B3" w:rsidP="001B3BD4">
            <w:pPr>
              <w:widowControl/>
              <w:rPr>
                <w:rFonts w:ascii="Times New Roman" w:hAnsi="Times New Roman"/>
                <w:sz w:val="20"/>
                <w:szCs w:val="20"/>
                <w:lang w:eastAsia="en-GB" w:bidi="ar-SA"/>
              </w:rPr>
            </w:pPr>
          </w:p>
        </w:tc>
        <w:tc>
          <w:tcPr>
            <w:tcW w:w="750" w:type="dxa"/>
            <w:shd w:val="clear" w:color="auto" w:fill="auto"/>
            <w:noWrap/>
            <w:vAlign w:val="bottom"/>
            <w:hideMark/>
          </w:tcPr>
          <w:p w14:paraId="7292B1D1" w14:textId="77777777" w:rsidR="00AC22B3" w:rsidRPr="0019356D" w:rsidRDefault="00AC22B3" w:rsidP="001B3BD4">
            <w:pPr>
              <w:widowControl/>
              <w:rPr>
                <w:rFonts w:ascii="Times New Roman" w:hAnsi="Times New Roman"/>
                <w:sz w:val="20"/>
                <w:szCs w:val="20"/>
                <w:lang w:eastAsia="en-GB" w:bidi="ar-SA"/>
              </w:rPr>
            </w:pPr>
          </w:p>
        </w:tc>
        <w:tc>
          <w:tcPr>
            <w:tcW w:w="850" w:type="dxa"/>
            <w:shd w:val="clear" w:color="auto" w:fill="auto"/>
            <w:noWrap/>
            <w:vAlign w:val="bottom"/>
            <w:hideMark/>
          </w:tcPr>
          <w:p w14:paraId="00BC8AFA" w14:textId="77777777" w:rsidR="00AC22B3" w:rsidRPr="0019356D" w:rsidRDefault="00AC22B3" w:rsidP="001B3BD4">
            <w:pPr>
              <w:widowControl/>
              <w:rPr>
                <w:rFonts w:ascii="Times New Roman" w:hAnsi="Times New Roman"/>
                <w:sz w:val="20"/>
                <w:szCs w:val="20"/>
                <w:lang w:eastAsia="en-GB" w:bidi="ar-SA"/>
              </w:rPr>
            </w:pPr>
          </w:p>
        </w:tc>
        <w:tc>
          <w:tcPr>
            <w:tcW w:w="1087" w:type="dxa"/>
            <w:shd w:val="clear" w:color="auto" w:fill="auto"/>
            <w:noWrap/>
            <w:vAlign w:val="bottom"/>
            <w:hideMark/>
          </w:tcPr>
          <w:p w14:paraId="5C2C4999" w14:textId="77777777" w:rsidR="00AC22B3" w:rsidRPr="0019356D" w:rsidRDefault="00AC22B3" w:rsidP="001B3BD4">
            <w:pPr>
              <w:widowControl/>
              <w:rPr>
                <w:rFonts w:ascii="Times New Roman" w:hAnsi="Times New Roman"/>
                <w:sz w:val="20"/>
                <w:szCs w:val="20"/>
                <w:lang w:eastAsia="en-GB" w:bidi="ar-SA"/>
              </w:rPr>
            </w:pPr>
          </w:p>
        </w:tc>
      </w:tr>
      <w:tr w:rsidR="00AC22B3" w:rsidRPr="0019356D" w14:paraId="6A832C7F" w14:textId="77777777" w:rsidTr="00C76348">
        <w:trPr>
          <w:trHeight w:val="255"/>
        </w:trPr>
        <w:tc>
          <w:tcPr>
            <w:tcW w:w="2268" w:type="dxa"/>
            <w:shd w:val="clear" w:color="auto" w:fill="auto"/>
            <w:noWrap/>
            <w:vAlign w:val="bottom"/>
            <w:hideMark/>
          </w:tcPr>
          <w:p w14:paraId="4FBDB7F2" w14:textId="4C250F93" w:rsidR="00AC22B3" w:rsidRPr="0019356D" w:rsidRDefault="00AC22B3" w:rsidP="001B3BD4">
            <w:pPr>
              <w:widowControl/>
              <w:rPr>
                <w:rFonts w:cs="Arial"/>
                <w:b/>
                <w:bCs/>
                <w:color w:val="000000"/>
                <w:sz w:val="16"/>
                <w:szCs w:val="16"/>
                <w:lang w:eastAsia="en-GB" w:bidi="ar-SA"/>
              </w:rPr>
            </w:pPr>
            <w:r w:rsidRPr="0019356D">
              <w:rPr>
                <w:rFonts w:cs="Arial"/>
                <w:b/>
                <w:bCs/>
                <w:color w:val="000000"/>
                <w:sz w:val="16"/>
                <w:szCs w:val="16"/>
                <w:lang w:eastAsia="en-GB" w:bidi="ar-SA"/>
              </w:rPr>
              <w:t>Estimated Average Requirement (EAR</w:t>
            </w:r>
            <w:r w:rsidRPr="0019356D" w:rsidDel="007D661A">
              <w:rPr>
                <w:rFonts w:cs="Arial"/>
                <w:b/>
                <w:bCs/>
                <w:color w:val="000000"/>
                <w:sz w:val="16"/>
                <w:szCs w:val="16"/>
                <w:lang w:eastAsia="en-GB" w:bidi="ar-SA"/>
              </w:rPr>
              <w:t>)</w:t>
            </w:r>
          </w:p>
        </w:tc>
        <w:tc>
          <w:tcPr>
            <w:tcW w:w="704" w:type="dxa"/>
            <w:shd w:val="clear" w:color="auto" w:fill="auto"/>
            <w:noWrap/>
            <w:vAlign w:val="bottom"/>
            <w:hideMark/>
          </w:tcPr>
          <w:p w14:paraId="7C282CBB" w14:textId="77777777" w:rsidR="00AC22B3" w:rsidRPr="0019356D" w:rsidRDefault="00AC22B3" w:rsidP="001B3BD4">
            <w:pPr>
              <w:widowControl/>
              <w:jc w:val="right"/>
              <w:rPr>
                <w:rFonts w:cs="Arial"/>
                <w:b/>
                <w:bCs/>
                <w:color w:val="000000"/>
                <w:sz w:val="16"/>
                <w:szCs w:val="16"/>
                <w:lang w:eastAsia="en-GB" w:bidi="ar-SA"/>
              </w:rPr>
            </w:pPr>
            <w:r w:rsidRPr="0019356D">
              <w:rPr>
                <w:rFonts w:cs="Arial"/>
                <w:b/>
                <w:bCs/>
                <w:color w:val="000000"/>
                <w:sz w:val="16"/>
                <w:szCs w:val="16"/>
                <w:lang w:eastAsia="en-GB" w:bidi="ar-SA"/>
              </w:rPr>
              <w:t>5</w:t>
            </w:r>
          </w:p>
        </w:tc>
        <w:tc>
          <w:tcPr>
            <w:tcW w:w="796" w:type="dxa"/>
            <w:shd w:val="clear" w:color="auto" w:fill="auto"/>
            <w:noWrap/>
            <w:vAlign w:val="bottom"/>
            <w:hideMark/>
          </w:tcPr>
          <w:p w14:paraId="2C48EDC2" w14:textId="77777777" w:rsidR="00AC22B3" w:rsidRPr="0019356D" w:rsidRDefault="00AC22B3" w:rsidP="001B3BD4">
            <w:pPr>
              <w:widowControl/>
              <w:jc w:val="right"/>
              <w:rPr>
                <w:rFonts w:cs="Arial"/>
                <w:b/>
                <w:bCs/>
                <w:color w:val="000000"/>
                <w:sz w:val="16"/>
                <w:szCs w:val="16"/>
                <w:lang w:eastAsia="en-GB" w:bidi="ar-SA"/>
              </w:rPr>
            </w:pPr>
            <w:r w:rsidRPr="0019356D">
              <w:rPr>
                <w:rFonts w:cs="Arial"/>
                <w:b/>
                <w:bCs/>
                <w:color w:val="000000"/>
                <w:sz w:val="16"/>
                <w:szCs w:val="16"/>
                <w:lang w:eastAsia="en-GB" w:bidi="ar-SA"/>
              </w:rPr>
              <w:t>6</w:t>
            </w:r>
          </w:p>
        </w:tc>
        <w:tc>
          <w:tcPr>
            <w:tcW w:w="601" w:type="dxa"/>
            <w:shd w:val="clear" w:color="auto" w:fill="auto"/>
            <w:noWrap/>
            <w:vAlign w:val="bottom"/>
            <w:hideMark/>
          </w:tcPr>
          <w:p w14:paraId="04D5EDA4" w14:textId="77777777" w:rsidR="00AC22B3" w:rsidRPr="0019356D" w:rsidRDefault="00AC22B3" w:rsidP="001B3BD4">
            <w:pPr>
              <w:widowControl/>
              <w:jc w:val="right"/>
              <w:rPr>
                <w:rFonts w:cs="Arial"/>
                <w:b/>
                <w:bCs/>
                <w:color w:val="000000"/>
                <w:sz w:val="16"/>
                <w:szCs w:val="16"/>
                <w:lang w:eastAsia="en-GB" w:bidi="ar-SA"/>
              </w:rPr>
            </w:pPr>
            <w:r w:rsidRPr="0019356D">
              <w:rPr>
                <w:rFonts w:cs="Arial"/>
                <w:b/>
                <w:bCs/>
                <w:color w:val="000000"/>
                <w:sz w:val="16"/>
                <w:szCs w:val="16"/>
                <w:lang w:eastAsia="en-GB" w:bidi="ar-SA"/>
              </w:rPr>
              <w:t>9</w:t>
            </w:r>
          </w:p>
        </w:tc>
        <w:tc>
          <w:tcPr>
            <w:tcW w:w="734" w:type="dxa"/>
            <w:shd w:val="clear" w:color="auto" w:fill="auto"/>
            <w:noWrap/>
            <w:vAlign w:val="bottom"/>
            <w:hideMark/>
          </w:tcPr>
          <w:p w14:paraId="1E0A6EF8" w14:textId="77777777" w:rsidR="00AC22B3" w:rsidRPr="0019356D" w:rsidRDefault="00AC22B3" w:rsidP="001B3BD4">
            <w:pPr>
              <w:widowControl/>
              <w:jc w:val="right"/>
              <w:rPr>
                <w:rFonts w:cs="Arial"/>
                <w:b/>
                <w:bCs/>
                <w:color w:val="000000"/>
                <w:sz w:val="16"/>
                <w:szCs w:val="16"/>
                <w:lang w:eastAsia="en-GB" w:bidi="ar-SA"/>
              </w:rPr>
            </w:pPr>
            <w:r w:rsidRPr="0019356D">
              <w:rPr>
                <w:rFonts w:cs="Arial"/>
                <w:b/>
                <w:bCs/>
                <w:color w:val="000000"/>
                <w:sz w:val="16"/>
                <w:szCs w:val="16"/>
                <w:lang w:eastAsia="en-GB" w:bidi="ar-SA"/>
              </w:rPr>
              <w:t>12</w:t>
            </w:r>
          </w:p>
        </w:tc>
        <w:tc>
          <w:tcPr>
            <w:tcW w:w="752" w:type="dxa"/>
            <w:shd w:val="clear" w:color="auto" w:fill="auto"/>
            <w:noWrap/>
            <w:vAlign w:val="bottom"/>
            <w:hideMark/>
          </w:tcPr>
          <w:p w14:paraId="114FD106" w14:textId="77777777" w:rsidR="00AC22B3" w:rsidRPr="0019356D" w:rsidRDefault="00AC22B3" w:rsidP="001B3BD4">
            <w:pPr>
              <w:widowControl/>
              <w:jc w:val="right"/>
              <w:rPr>
                <w:rFonts w:cs="Arial"/>
                <w:b/>
                <w:bCs/>
                <w:color w:val="000000"/>
                <w:sz w:val="16"/>
                <w:szCs w:val="16"/>
                <w:lang w:eastAsia="en-GB" w:bidi="ar-SA"/>
              </w:rPr>
            </w:pPr>
            <w:r w:rsidRPr="0019356D">
              <w:rPr>
                <w:rFonts w:cs="Arial"/>
                <w:b/>
                <w:bCs/>
                <w:color w:val="000000"/>
                <w:sz w:val="16"/>
                <w:szCs w:val="16"/>
                <w:lang w:eastAsia="en-GB" w:bidi="ar-SA"/>
              </w:rPr>
              <w:t>12</w:t>
            </w:r>
          </w:p>
        </w:tc>
        <w:tc>
          <w:tcPr>
            <w:tcW w:w="750" w:type="dxa"/>
            <w:shd w:val="clear" w:color="auto" w:fill="auto"/>
            <w:noWrap/>
            <w:vAlign w:val="bottom"/>
            <w:hideMark/>
          </w:tcPr>
          <w:p w14:paraId="3E129E1C" w14:textId="77777777" w:rsidR="00AC22B3" w:rsidRPr="0019356D" w:rsidRDefault="00AC22B3" w:rsidP="001B3BD4">
            <w:pPr>
              <w:widowControl/>
              <w:jc w:val="right"/>
              <w:rPr>
                <w:rFonts w:cs="Arial"/>
                <w:b/>
                <w:bCs/>
                <w:color w:val="000000"/>
                <w:sz w:val="16"/>
                <w:szCs w:val="16"/>
                <w:lang w:eastAsia="en-GB" w:bidi="ar-SA"/>
              </w:rPr>
            </w:pPr>
            <w:r w:rsidRPr="0019356D">
              <w:rPr>
                <w:rFonts w:cs="Arial"/>
                <w:b/>
                <w:bCs/>
                <w:color w:val="000000"/>
                <w:sz w:val="16"/>
                <w:szCs w:val="16"/>
                <w:lang w:eastAsia="en-GB" w:bidi="ar-SA"/>
              </w:rPr>
              <w:t>12</w:t>
            </w:r>
          </w:p>
        </w:tc>
        <w:tc>
          <w:tcPr>
            <w:tcW w:w="850" w:type="dxa"/>
            <w:shd w:val="clear" w:color="auto" w:fill="auto"/>
            <w:noWrap/>
            <w:vAlign w:val="bottom"/>
            <w:hideMark/>
          </w:tcPr>
          <w:p w14:paraId="6B486439" w14:textId="77777777" w:rsidR="00AC22B3" w:rsidRPr="0019356D" w:rsidRDefault="00AC22B3" w:rsidP="001B3BD4">
            <w:pPr>
              <w:widowControl/>
              <w:jc w:val="right"/>
              <w:rPr>
                <w:rFonts w:cs="Arial"/>
                <w:b/>
                <w:bCs/>
                <w:color w:val="000000"/>
                <w:sz w:val="16"/>
                <w:szCs w:val="16"/>
                <w:lang w:eastAsia="en-GB" w:bidi="ar-SA"/>
              </w:rPr>
            </w:pPr>
            <w:r w:rsidRPr="0019356D">
              <w:rPr>
                <w:rFonts w:cs="Arial"/>
                <w:b/>
                <w:bCs/>
                <w:color w:val="000000"/>
                <w:sz w:val="16"/>
                <w:szCs w:val="16"/>
                <w:lang w:eastAsia="en-GB" w:bidi="ar-SA"/>
              </w:rPr>
              <w:t>12</w:t>
            </w:r>
          </w:p>
        </w:tc>
        <w:tc>
          <w:tcPr>
            <w:tcW w:w="1087" w:type="dxa"/>
            <w:shd w:val="clear" w:color="auto" w:fill="auto"/>
            <w:noWrap/>
            <w:vAlign w:val="bottom"/>
            <w:hideMark/>
          </w:tcPr>
          <w:p w14:paraId="5339C68F" w14:textId="77777777" w:rsidR="00AC22B3" w:rsidRPr="0019356D" w:rsidRDefault="00AC22B3" w:rsidP="001B3BD4">
            <w:pPr>
              <w:widowControl/>
              <w:jc w:val="right"/>
              <w:rPr>
                <w:rFonts w:cs="Arial"/>
                <w:b/>
                <w:bCs/>
                <w:color w:val="000000"/>
                <w:sz w:val="16"/>
                <w:szCs w:val="16"/>
                <w:lang w:eastAsia="en-GB" w:bidi="ar-SA"/>
              </w:rPr>
            </w:pPr>
            <w:r w:rsidRPr="0019356D">
              <w:rPr>
                <w:rFonts w:cs="Arial"/>
                <w:b/>
                <w:bCs/>
                <w:color w:val="000000"/>
                <w:sz w:val="16"/>
                <w:szCs w:val="16"/>
                <w:lang w:eastAsia="en-GB" w:bidi="ar-SA"/>
              </w:rPr>
              <w:t>12</w:t>
            </w:r>
          </w:p>
        </w:tc>
      </w:tr>
      <w:tr w:rsidR="00AC22B3" w:rsidRPr="0019356D" w14:paraId="437DDDF7" w14:textId="77777777" w:rsidTr="00C76348">
        <w:trPr>
          <w:trHeight w:val="255"/>
        </w:trPr>
        <w:tc>
          <w:tcPr>
            <w:tcW w:w="2268" w:type="dxa"/>
            <w:shd w:val="clear" w:color="auto" w:fill="auto"/>
            <w:noWrap/>
            <w:vAlign w:val="bottom"/>
            <w:hideMark/>
          </w:tcPr>
          <w:p w14:paraId="454EE817" w14:textId="720076ED" w:rsidR="00AC22B3" w:rsidRPr="0019356D" w:rsidRDefault="00AC22B3" w:rsidP="001B3BD4">
            <w:pPr>
              <w:widowControl/>
              <w:ind w:firstLineChars="100" w:firstLine="160"/>
              <w:rPr>
                <w:rFonts w:cs="Arial"/>
                <w:color w:val="000000"/>
                <w:sz w:val="16"/>
                <w:szCs w:val="16"/>
                <w:lang w:eastAsia="en-GB" w:bidi="ar-SA"/>
              </w:rPr>
            </w:pPr>
            <w:r w:rsidRPr="0019356D">
              <w:rPr>
                <w:rFonts w:cs="Arial"/>
                <w:color w:val="000000"/>
                <w:sz w:val="16"/>
                <w:szCs w:val="16"/>
                <w:lang w:eastAsia="en-GB" w:bidi="ar-SA"/>
              </w:rPr>
              <w:t>Proportion with usual intake less than EAR</w:t>
            </w:r>
            <w:r>
              <w:rPr>
                <w:rFonts w:cs="Arial"/>
                <w:color w:val="000000"/>
                <w:sz w:val="16"/>
                <w:szCs w:val="16"/>
                <w:lang w:eastAsia="en-GB" w:bidi="ar-SA"/>
              </w:rPr>
              <w:t xml:space="preserve"> (%)</w:t>
            </w:r>
          </w:p>
        </w:tc>
        <w:tc>
          <w:tcPr>
            <w:tcW w:w="704" w:type="dxa"/>
            <w:shd w:val="clear" w:color="auto" w:fill="auto"/>
            <w:noWrap/>
            <w:vAlign w:val="bottom"/>
            <w:hideMark/>
          </w:tcPr>
          <w:p w14:paraId="214A3F68"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w:t>
            </w:r>
          </w:p>
        </w:tc>
        <w:tc>
          <w:tcPr>
            <w:tcW w:w="796" w:type="dxa"/>
            <w:shd w:val="clear" w:color="auto" w:fill="auto"/>
            <w:noWrap/>
            <w:vAlign w:val="bottom"/>
            <w:hideMark/>
          </w:tcPr>
          <w:p w14:paraId="386F2CDB"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w:t>
            </w:r>
          </w:p>
        </w:tc>
        <w:tc>
          <w:tcPr>
            <w:tcW w:w="601" w:type="dxa"/>
            <w:shd w:val="clear" w:color="auto" w:fill="auto"/>
            <w:noWrap/>
            <w:vAlign w:val="bottom"/>
            <w:hideMark/>
          </w:tcPr>
          <w:p w14:paraId="1C18B09E"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w:t>
            </w:r>
          </w:p>
        </w:tc>
        <w:tc>
          <w:tcPr>
            <w:tcW w:w="734" w:type="dxa"/>
            <w:shd w:val="clear" w:color="auto" w:fill="auto"/>
            <w:noWrap/>
            <w:vAlign w:val="bottom"/>
            <w:hideMark/>
          </w:tcPr>
          <w:p w14:paraId="7A3C55D1"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w:t>
            </w:r>
          </w:p>
        </w:tc>
        <w:tc>
          <w:tcPr>
            <w:tcW w:w="752" w:type="dxa"/>
            <w:shd w:val="clear" w:color="auto" w:fill="auto"/>
            <w:noWrap/>
            <w:vAlign w:val="bottom"/>
            <w:hideMark/>
          </w:tcPr>
          <w:p w14:paraId="77B52A82"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w:t>
            </w:r>
          </w:p>
        </w:tc>
        <w:tc>
          <w:tcPr>
            <w:tcW w:w="750" w:type="dxa"/>
            <w:shd w:val="clear" w:color="auto" w:fill="auto"/>
            <w:noWrap/>
            <w:vAlign w:val="bottom"/>
            <w:hideMark/>
          </w:tcPr>
          <w:p w14:paraId="7C2CB987"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w:t>
            </w:r>
          </w:p>
        </w:tc>
        <w:tc>
          <w:tcPr>
            <w:tcW w:w="850" w:type="dxa"/>
            <w:shd w:val="clear" w:color="auto" w:fill="auto"/>
            <w:noWrap/>
            <w:vAlign w:val="bottom"/>
            <w:hideMark/>
          </w:tcPr>
          <w:p w14:paraId="5AD67D6E"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w:t>
            </w:r>
          </w:p>
        </w:tc>
        <w:tc>
          <w:tcPr>
            <w:tcW w:w="1087" w:type="dxa"/>
            <w:shd w:val="clear" w:color="auto" w:fill="auto"/>
            <w:noWrap/>
            <w:vAlign w:val="bottom"/>
            <w:hideMark/>
          </w:tcPr>
          <w:p w14:paraId="7196DBDF"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w:t>
            </w:r>
          </w:p>
        </w:tc>
      </w:tr>
      <w:tr w:rsidR="00AC22B3" w:rsidRPr="0019356D" w14:paraId="675D5FD2" w14:textId="77777777" w:rsidTr="00C76348">
        <w:trPr>
          <w:trHeight w:val="255"/>
        </w:trPr>
        <w:tc>
          <w:tcPr>
            <w:tcW w:w="2268" w:type="dxa"/>
            <w:shd w:val="clear" w:color="auto" w:fill="auto"/>
            <w:noWrap/>
            <w:vAlign w:val="bottom"/>
          </w:tcPr>
          <w:p w14:paraId="2CDADFCE" w14:textId="77777777" w:rsidR="00AC22B3" w:rsidRPr="0019356D" w:rsidRDefault="00AC22B3" w:rsidP="001B3BD4">
            <w:pPr>
              <w:widowControl/>
              <w:jc w:val="right"/>
              <w:rPr>
                <w:rFonts w:cs="Arial"/>
                <w:b/>
                <w:bCs/>
                <w:color w:val="000000"/>
                <w:sz w:val="16"/>
                <w:szCs w:val="16"/>
                <w:lang w:eastAsia="en-GB" w:bidi="ar-SA"/>
              </w:rPr>
            </w:pPr>
          </w:p>
        </w:tc>
        <w:tc>
          <w:tcPr>
            <w:tcW w:w="704" w:type="dxa"/>
            <w:shd w:val="clear" w:color="auto" w:fill="auto"/>
            <w:noWrap/>
            <w:vAlign w:val="bottom"/>
          </w:tcPr>
          <w:p w14:paraId="26113651" w14:textId="77777777" w:rsidR="00AC22B3" w:rsidRPr="0019356D" w:rsidRDefault="00AC22B3" w:rsidP="001B3BD4">
            <w:pPr>
              <w:widowControl/>
              <w:ind w:firstLineChars="100" w:firstLine="200"/>
              <w:rPr>
                <w:rFonts w:ascii="Times New Roman" w:hAnsi="Times New Roman"/>
                <w:sz w:val="20"/>
                <w:szCs w:val="20"/>
                <w:lang w:eastAsia="en-GB" w:bidi="ar-SA"/>
              </w:rPr>
            </w:pPr>
          </w:p>
        </w:tc>
        <w:tc>
          <w:tcPr>
            <w:tcW w:w="796" w:type="dxa"/>
            <w:shd w:val="clear" w:color="auto" w:fill="auto"/>
            <w:noWrap/>
            <w:vAlign w:val="bottom"/>
          </w:tcPr>
          <w:p w14:paraId="7D5D8023" w14:textId="77777777" w:rsidR="00AC22B3" w:rsidRPr="0019356D" w:rsidRDefault="00AC22B3" w:rsidP="001B3BD4">
            <w:pPr>
              <w:widowControl/>
              <w:rPr>
                <w:rFonts w:ascii="Times New Roman" w:hAnsi="Times New Roman"/>
                <w:sz w:val="20"/>
                <w:szCs w:val="20"/>
                <w:lang w:eastAsia="en-GB" w:bidi="ar-SA"/>
              </w:rPr>
            </w:pPr>
          </w:p>
        </w:tc>
        <w:tc>
          <w:tcPr>
            <w:tcW w:w="601" w:type="dxa"/>
            <w:shd w:val="clear" w:color="auto" w:fill="auto"/>
            <w:noWrap/>
            <w:vAlign w:val="bottom"/>
          </w:tcPr>
          <w:p w14:paraId="0709C032" w14:textId="77777777" w:rsidR="00AC22B3" w:rsidRPr="0019356D" w:rsidRDefault="00AC22B3" w:rsidP="001B3BD4">
            <w:pPr>
              <w:widowControl/>
              <w:rPr>
                <w:rFonts w:ascii="Times New Roman" w:hAnsi="Times New Roman"/>
                <w:sz w:val="20"/>
                <w:szCs w:val="20"/>
                <w:lang w:eastAsia="en-GB" w:bidi="ar-SA"/>
              </w:rPr>
            </w:pPr>
          </w:p>
        </w:tc>
        <w:tc>
          <w:tcPr>
            <w:tcW w:w="734" w:type="dxa"/>
            <w:shd w:val="clear" w:color="auto" w:fill="auto"/>
            <w:noWrap/>
            <w:vAlign w:val="bottom"/>
          </w:tcPr>
          <w:p w14:paraId="1C1EECD9" w14:textId="77777777" w:rsidR="00AC22B3" w:rsidRPr="0019356D" w:rsidRDefault="00AC22B3" w:rsidP="001B3BD4">
            <w:pPr>
              <w:widowControl/>
              <w:rPr>
                <w:rFonts w:ascii="Times New Roman" w:hAnsi="Times New Roman"/>
                <w:sz w:val="20"/>
                <w:szCs w:val="20"/>
                <w:lang w:eastAsia="en-GB" w:bidi="ar-SA"/>
              </w:rPr>
            </w:pPr>
          </w:p>
        </w:tc>
        <w:tc>
          <w:tcPr>
            <w:tcW w:w="752" w:type="dxa"/>
            <w:shd w:val="clear" w:color="auto" w:fill="auto"/>
            <w:noWrap/>
            <w:vAlign w:val="bottom"/>
          </w:tcPr>
          <w:p w14:paraId="6970FA86" w14:textId="77777777" w:rsidR="00AC22B3" w:rsidRPr="0019356D" w:rsidRDefault="00AC22B3" w:rsidP="001B3BD4">
            <w:pPr>
              <w:widowControl/>
              <w:rPr>
                <w:rFonts w:ascii="Times New Roman" w:hAnsi="Times New Roman"/>
                <w:sz w:val="20"/>
                <w:szCs w:val="20"/>
                <w:lang w:eastAsia="en-GB" w:bidi="ar-SA"/>
              </w:rPr>
            </w:pPr>
          </w:p>
        </w:tc>
        <w:tc>
          <w:tcPr>
            <w:tcW w:w="750" w:type="dxa"/>
            <w:shd w:val="clear" w:color="auto" w:fill="auto"/>
            <w:noWrap/>
            <w:vAlign w:val="bottom"/>
          </w:tcPr>
          <w:p w14:paraId="2E47E1A3" w14:textId="77777777" w:rsidR="00AC22B3" w:rsidRPr="0019356D" w:rsidRDefault="00AC22B3" w:rsidP="001B3BD4">
            <w:pPr>
              <w:widowControl/>
              <w:rPr>
                <w:rFonts w:ascii="Times New Roman" w:hAnsi="Times New Roman"/>
                <w:sz w:val="20"/>
                <w:szCs w:val="20"/>
                <w:lang w:eastAsia="en-GB" w:bidi="ar-SA"/>
              </w:rPr>
            </w:pPr>
          </w:p>
        </w:tc>
        <w:tc>
          <w:tcPr>
            <w:tcW w:w="850" w:type="dxa"/>
            <w:shd w:val="clear" w:color="auto" w:fill="auto"/>
            <w:noWrap/>
            <w:vAlign w:val="bottom"/>
          </w:tcPr>
          <w:p w14:paraId="16A806D4" w14:textId="77777777" w:rsidR="00AC22B3" w:rsidRPr="0019356D" w:rsidRDefault="00AC22B3" w:rsidP="001B3BD4">
            <w:pPr>
              <w:widowControl/>
              <w:rPr>
                <w:rFonts w:ascii="Times New Roman" w:hAnsi="Times New Roman"/>
                <w:sz w:val="20"/>
                <w:szCs w:val="20"/>
                <w:lang w:eastAsia="en-GB" w:bidi="ar-SA"/>
              </w:rPr>
            </w:pPr>
          </w:p>
        </w:tc>
        <w:tc>
          <w:tcPr>
            <w:tcW w:w="1087" w:type="dxa"/>
            <w:shd w:val="clear" w:color="auto" w:fill="auto"/>
            <w:noWrap/>
            <w:vAlign w:val="bottom"/>
          </w:tcPr>
          <w:p w14:paraId="471AB9F9" w14:textId="77777777" w:rsidR="00AC22B3" w:rsidRPr="0019356D" w:rsidRDefault="00AC22B3" w:rsidP="001B3BD4">
            <w:pPr>
              <w:widowControl/>
              <w:rPr>
                <w:rFonts w:ascii="Times New Roman" w:hAnsi="Times New Roman"/>
                <w:sz w:val="20"/>
                <w:szCs w:val="20"/>
                <w:lang w:eastAsia="en-GB" w:bidi="ar-SA"/>
              </w:rPr>
            </w:pPr>
          </w:p>
        </w:tc>
      </w:tr>
      <w:tr w:rsidR="00AC22B3" w:rsidRPr="0019356D" w14:paraId="72CC9353" w14:textId="77777777" w:rsidTr="00C76348">
        <w:trPr>
          <w:trHeight w:val="255"/>
        </w:trPr>
        <w:tc>
          <w:tcPr>
            <w:tcW w:w="2268" w:type="dxa"/>
            <w:shd w:val="clear" w:color="auto" w:fill="auto"/>
            <w:noWrap/>
            <w:vAlign w:val="bottom"/>
            <w:hideMark/>
          </w:tcPr>
          <w:p w14:paraId="0431D761" w14:textId="30DF209E" w:rsidR="00AC22B3" w:rsidRPr="0019356D" w:rsidRDefault="00AC22B3" w:rsidP="001B3BD4">
            <w:pPr>
              <w:widowControl/>
              <w:rPr>
                <w:rFonts w:cs="Arial"/>
                <w:sz w:val="16"/>
                <w:szCs w:val="16"/>
                <w:lang w:eastAsia="en-GB" w:bidi="ar-SA"/>
              </w:rPr>
            </w:pPr>
            <w:r w:rsidRPr="0019356D">
              <w:rPr>
                <w:rFonts w:cs="Arial"/>
                <w:sz w:val="16"/>
                <w:szCs w:val="16"/>
                <w:lang w:eastAsia="en-GB" w:bidi="ar-SA"/>
              </w:rPr>
              <w:t> </w:t>
            </w:r>
            <w:r w:rsidR="00D81787" w:rsidRPr="0019356D">
              <w:rPr>
                <w:rFonts w:cs="Arial"/>
                <w:b/>
                <w:bCs/>
                <w:sz w:val="16"/>
                <w:szCs w:val="16"/>
                <w:lang w:eastAsia="en-GB" w:bidi="ar-SA"/>
              </w:rPr>
              <w:t>Percentiles</w:t>
            </w:r>
          </w:p>
        </w:tc>
        <w:tc>
          <w:tcPr>
            <w:tcW w:w="6274" w:type="dxa"/>
            <w:gridSpan w:val="8"/>
            <w:shd w:val="clear" w:color="auto" w:fill="auto"/>
            <w:noWrap/>
            <w:vAlign w:val="bottom"/>
            <w:hideMark/>
          </w:tcPr>
          <w:p w14:paraId="002DA982" w14:textId="77777777" w:rsidR="00AC22B3" w:rsidRPr="0019356D" w:rsidRDefault="00AC22B3" w:rsidP="001B3BD4">
            <w:pPr>
              <w:widowControl/>
              <w:jc w:val="center"/>
              <w:rPr>
                <w:rFonts w:cs="Arial"/>
                <w:b/>
                <w:bCs/>
                <w:sz w:val="16"/>
                <w:szCs w:val="16"/>
                <w:lang w:eastAsia="en-GB" w:bidi="ar-SA"/>
              </w:rPr>
            </w:pPr>
            <w:r w:rsidRPr="0019356D">
              <w:rPr>
                <w:rFonts w:cs="Arial"/>
                <w:b/>
                <w:bCs/>
                <w:sz w:val="16"/>
                <w:szCs w:val="16"/>
                <w:lang w:eastAsia="en-GB" w:bidi="ar-SA"/>
              </w:rPr>
              <w:t>Females</w:t>
            </w:r>
          </w:p>
        </w:tc>
      </w:tr>
      <w:tr w:rsidR="00AC22B3" w:rsidRPr="0019356D" w14:paraId="7EDDD2C4" w14:textId="77777777" w:rsidTr="00C76348">
        <w:trPr>
          <w:trHeight w:val="255"/>
        </w:trPr>
        <w:tc>
          <w:tcPr>
            <w:tcW w:w="2268" w:type="dxa"/>
            <w:shd w:val="clear" w:color="auto" w:fill="auto"/>
            <w:noWrap/>
            <w:vAlign w:val="bottom"/>
            <w:hideMark/>
          </w:tcPr>
          <w:p w14:paraId="0C1A0B40"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5</w:t>
            </w:r>
          </w:p>
        </w:tc>
        <w:tc>
          <w:tcPr>
            <w:tcW w:w="704" w:type="dxa"/>
            <w:shd w:val="clear" w:color="auto" w:fill="auto"/>
            <w:noWrap/>
            <w:vAlign w:val="bottom"/>
            <w:hideMark/>
          </w:tcPr>
          <w:p w14:paraId="3216E780"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17</w:t>
            </w:r>
          </w:p>
        </w:tc>
        <w:tc>
          <w:tcPr>
            <w:tcW w:w="796" w:type="dxa"/>
            <w:shd w:val="clear" w:color="auto" w:fill="auto"/>
            <w:noWrap/>
            <w:vAlign w:val="bottom"/>
            <w:hideMark/>
          </w:tcPr>
          <w:p w14:paraId="33BBE973"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20</w:t>
            </w:r>
          </w:p>
        </w:tc>
        <w:tc>
          <w:tcPr>
            <w:tcW w:w="601" w:type="dxa"/>
            <w:shd w:val="clear" w:color="auto" w:fill="auto"/>
            <w:noWrap/>
            <w:vAlign w:val="bottom"/>
            <w:hideMark/>
          </w:tcPr>
          <w:p w14:paraId="4AF7B359"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21</w:t>
            </w:r>
          </w:p>
        </w:tc>
        <w:tc>
          <w:tcPr>
            <w:tcW w:w="734" w:type="dxa"/>
            <w:shd w:val="clear" w:color="auto" w:fill="auto"/>
            <w:noWrap/>
            <w:vAlign w:val="bottom"/>
            <w:hideMark/>
          </w:tcPr>
          <w:p w14:paraId="1BA83D9E"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22</w:t>
            </w:r>
          </w:p>
        </w:tc>
        <w:tc>
          <w:tcPr>
            <w:tcW w:w="752" w:type="dxa"/>
            <w:shd w:val="clear" w:color="auto" w:fill="auto"/>
            <w:noWrap/>
            <w:vAlign w:val="bottom"/>
            <w:hideMark/>
          </w:tcPr>
          <w:p w14:paraId="20509989"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23</w:t>
            </w:r>
          </w:p>
        </w:tc>
        <w:tc>
          <w:tcPr>
            <w:tcW w:w="750" w:type="dxa"/>
            <w:shd w:val="clear" w:color="auto" w:fill="auto"/>
            <w:noWrap/>
            <w:vAlign w:val="bottom"/>
            <w:hideMark/>
          </w:tcPr>
          <w:p w14:paraId="4F1EED04"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23</w:t>
            </w:r>
          </w:p>
        </w:tc>
        <w:tc>
          <w:tcPr>
            <w:tcW w:w="850" w:type="dxa"/>
            <w:shd w:val="clear" w:color="auto" w:fill="auto"/>
            <w:noWrap/>
            <w:vAlign w:val="bottom"/>
            <w:hideMark/>
          </w:tcPr>
          <w:p w14:paraId="7077A0E5"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22</w:t>
            </w:r>
          </w:p>
        </w:tc>
        <w:tc>
          <w:tcPr>
            <w:tcW w:w="1087" w:type="dxa"/>
            <w:shd w:val="clear" w:color="auto" w:fill="auto"/>
            <w:noWrap/>
            <w:vAlign w:val="bottom"/>
            <w:hideMark/>
          </w:tcPr>
          <w:p w14:paraId="3864675B"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21</w:t>
            </w:r>
          </w:p>
        </w:tc>
      </w:tr>
      <w:tr w:rsidR="00AC22B3" w:rsidRPr="0019356D" w14:paraId="0033B649" w14:textId="77777777" w:rsidTr="00C76348">
        <w:trPr>
          <w:trHeight w:val="255"/>
        </w:trPr>
        <w:tc>
          <w:tcPr>
            <w:tcW w:w="2268" w:type="dxa"/>
            <w:shd w:val="clear" w:color="auto" w:fill="auto"/>
            <w:noWrap/>
            <w:vAlign w:val="bottom"/>
            <w:hideMark/>
          </w:tcPr>
          <w:p w14:paraId="1EEB98B3"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10</w:t>
            </w:r>
          </w:p>
        </w:tc>
        <w:tc>
          <w:tcPr>
            <w:tcW w:w="704" w:type="dxa"/>
            <w:shd w:val="clear" w:color="auto" w:fill="auto"/>
            <w:noWrap/>
            <w:vAlign w:val="bottom"/>
            <w:hideMark/>
          </w:tcPr>
          <w:p w14:paraId="763019E9"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18</w:t>
            </w:r>
          </w:p>
        </w:tc>
        <w:tc>
          <w:tcPr>
            <w:tcW w:w="796" w:type="dxa"/>
            <w:shd w:val="clear" w:color="auto" w:fill="auto"/>
            <w:noWrap/>
            <w:vAlign w:val="bottom"/>
            <w:hideMark/>
          </w:tcPr>
          <w:p w14:paraId="2E5EED6A"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21</w:t>
            </w:r>
          </w:p>
        </w:tc>
        <w:tc>
          <w:tcPr>
            <w:tcW w:w="601" w:type="dxa"/>
            <w:shd w:val="clear" w:color="auto" w:fill="auto"/>
            <w:noWrap/>
            <w:vAlign w:val="bottom"/>
            <w:hideMark/>
          </w:tcPr>
          <w:p w14:paraId="0AC6D966"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23</w:t>
            </w:r>
          </w:p>
        </w:tc>
        <w:tc>
          <w:tcPr>
            <w:tcW w:w="734" w:type="dxa"/>
            <w:shd w:val="clear" w:color="auto" w:fill="auto"/>
            <w:noWrap/>
            <w:vAlign w:val="bottom"/>
            <w:hideMark/>
          </w:tcPr>
          <w:p w14:paraId="098EC206"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24</w:t>
            </w:r>
          </w:p>
        </w:tc>
        <w:tc>
          <w:tcPr>
            <w:tcW w:w="752" w:type="dxa"/>
            <w:shd w:val="clear" w:color="auto" w:fill="auto"/>
            <w:noWrap/>
            <w:vAlign w:val="bottom"/>
            <w:hideMark/>
          </w:tcPr>
          <w:p w14:paraId="44B61AD9"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25</w:t>
            </w:r>
          </w:p>
        </w:tc>
        <w:tc>
          <w:tcPr>
            <w:tcW w:w="750" w:type="dxa"/>
            <w:shd w:val="clear" w:color="auto" w:fill="auto"/>
            <w:noWrap/>
            <w:vAlign w:val="bottom"/>
            <w:hideMark/>
          </w:tcPr>
          <w:p w14:paraId="1930D94A"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25</w:t>
            </w:r>
          </w:p>
        </w:tc>
        <w:tc>
          <w:tcPr>
            <w:tcW w:w="850" w:type="dxa"/>
            <w:shd w:val="clear" w:color="auto" w:fill="auto"/>
            <w:noWrap/>
            <w:vAlign w:val="bottom"/>
            <w:hideMark/>
          </w:tcPr>
          <w:p w14:paraId="020CB94A"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25</w:t>
            </w:r>
          </w:p>
        </w:tc>
        <w:tc>
          <w:tcPr>
            <w:tcW w:w="1087" w:type="dxa"/>
            <w:shd w:val="clear" w:color="auto" w:fill="auto"/>
            <w:noWrap/>
            <w:vAlign w:val="bottom"/>
            <w:hideMark/>
          </w:tcPr>
          <w:p w14:paraId="3D2CF159"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23</w:t>
            </w:r>
          </w:p>
        </w:tc>
      </w:tr>
      <w:tr w:rsidR="00AC22B3" w:rsidRPr="0019356D" w14:paraId="1B648B98" w14:textId="77777777" w:rsidTr="00C76348">
        <w:trPr>
          <w:trHeight w:val="255"/>
        </w:trPr>
        <w:tc>
          <w:tcPr>
            <w:tcW w:w="2268" w:type="dxa"/>
            <w:shd w:val="clear" w:color="auto" w:fill="auto"/>
            <w:noWrap/>
            <w:vAlign w:val="bottom"/>
            <w:hideMark/>
          </w:tcPr>
          <w:p w14:paraId="5AE4B58E"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15</w:t>
            </w:r>
          </w:p>
        </w:tc>
        <w:tc>
          <w:tcPr>
            <w:tcW w:w="704" w:type="dxa"/>
            <w:shd w:val="clear" w:color="auto" w:fill="auto"/>
            <w:noWrap/>
            <w:vAlign w:val="bottom"/>
            <w:hideMark/>
          </w:tcPr>
          <w:p w14:paraId="4D4285A0" w14:textId="77777777" w:rsidR="00AC22B3" w:rsidRPr="0019356D" w:rsidRDefault="00AC22B3" w:rsidP="00C76348">
            <w:pPr>
              <w:widowControl/>
              <w:jc w:val="right"/>
              <w:rPr>
                <w:rFonts w:cs="Arial"/>
                <w:color w:val="000000"/>
                <w:sz w:val="16"/>
                <w:szCs w:val="16"/>
                <w:lang w:eastAsia="en-GB" w:bidi="ar-SA"/>
              </w:rPr>
            </w:pPr>
            <w:r w:rsidRPr="0019356D">
              <w:rPr>
                <w:rFonts w:cs="Arial"/>
                <w:color w:val="000000"/>
                <w:sz w:val="16"/>
                <w:szCs w:val="16"/>
                <w:lang w:eastAsia="en-GB" w:bidi="ar-SA"/>
              </w:rPr>
              <w:t>19</w:t>
            </w:r>
          </w:p>
        </w:tc>
        <w:tc>
          <w:tcPr>
            <w:tcW w:w="796" w:type="dxa"/>
            <w:shd w:val="clear" w:color="auto" w:fill="auto"/>
            <w:noWrap/>
            <w:vAlign w:val="bottom"/>
            <w:hideMark/>
          </w:tcPr>
          <w:p w14:paraId="0C0D2318"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22</w:t>
            </w:r>
          </w:p>
        </w:tc>
        <w:tc>
          <w:tcPr>
            <w:tcW w:w="601" w:type="dxa"/>
            <w:shd w:val="clear" w:color="auto" w:fill="auto"/>
            <w:noWrap/>
            <w:vAlign w:val="bottom"/>
            <w:hideMark/>
          </w:tcPr>
          <w:p w14:paraId="6F080CA2"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25</w:t>
            </w:r>
          </w:p>
        </w:tc>
        <w:tc>
          <w:tcPr>
            <w:tcW w:w="734" w:type="dxa"/>
            <w:shd w:val="clear" w:color="auto" w:fill="auto"/>
            <w:noWrap/>
            <w:vAlign w:val="bottom"/>
            <w:hideMark/>
          </w:tcPr>
          <w:p w14:paraId="22D9968B"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26</w:t>
            </w:r>
          </w:p>
        </w:tc>
        <w:tc>
          <w:tcPr>
            <w:tcW w:w="752" w:type="dxa"/>
            <w:shd w:val="clear" w:color="auto" w:fill="auto"/>
            <w:noWrap/>
            <w:vAlign w:val="bottom"/>
            <w:hideMark/>
          </w:tcPr>
          <w:p w14:paraId="1071175C"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27</w:t>
            </w:r>
          </w:p>
        </w:tc>
        <w:tc>
          <w:tcPr>
            <w:tcW w:w="750" w:type="dxa"/>
            <w:shd w:val="clear" w:color="auto" w:fill="auto"/>
            <w:noWrap/>
            <w:vAlign w:val="bottom"/>
            <w:hideMark/>
          </w:tcPr>
          <w:p w14:paraId="5D99D520"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27</w:t>
            </w:r>
          </w:p>
        </w:tc>
        <w:tc>
          <w:tcPr>
            <w:tcW w:w="850" w:type="dxa"/>
            <w:shd w:val="clear" w:color="auto" w:fill="auto"/>
            <w:noWrap/>
            <w:vAlign w:val="bottom"/>
            <w:hideMark/>
          </w:tcPr>
          <w:p w14:paraId="71920902"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26</w:t>
            </w:r>
          </w:p>
        </w:tc>
        <w:tc>
          <w:tcPr>
            <w:tcW w:w="1087" w:type="dxa"/>
            <w:shd w:val="clear" w:color="auto" w:fill="auto"/>
            <w:noWrap/>
            <w:vAlign w:val="bottom"/>
            <w:hideMark/>
          </w:tcPr>
          <w:p w14:paraId="0A709082"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24</w:t>
            </w:r>
          </w:p>
        </w:tc>
      </w:tr>
      <w:tr w:rsidR="00AC22B3" w:rsidRPr="0019356D" w14:paraId="43333236" w14:textId="77777777" w:rsidTr="00C76348">
        <w:trPr>
          <w:trHeight w:val="255"/>
        </w:trPr>
        <w:tc>
          <w:tcPr>
            <w:tcW w:w="2268" w:type="dxa"/>
            <w:shd w:val="clear" w:color="auto" w:fill="auto"/>
            <w:noWrap/>
            <w:vAlign w:val="bottom"/>
            <w:hideMark/>
          </w:tcPr>
          <w:p w14:paraId="7B4BFAD1"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25</w:t>
            </w:r>
          </w:p>
        </w:tc>
        <w:tc>
          <w:tcPr>
            <w:tcW w:w="704" w:type="dxa"/>
            <w:shd w:val="clear" w:color="auto" w:fill="auto"/>
            <w:noWrap/>
            <w:vAlign w:val="bottom"/>
            <w:hideMark/>
          </w:tcPr>
          <w:p w14:paraId="77C23810"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20</w:t>
            </w:r>
          </w:p>
        </w:tc>
        <w:tc>
          <w:tcPr>
            <w:tcW w:w="796" w:type="dxa"/>
            <w:shd w:val="clear" w:color="auto" w:fill="auto"/>
            <w:noWrap/>
            <w:vAlign w:val="bottom"/>
            <w:hideMark/>
          </w:tcPr>
          <w:p w14:paraId="70EDBEFC"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24</w:t>
            </w:r>
          </w:p>
        </w:tc>
        <w:tc>
          <w:tcPr>
            <w:tcW w:w="601" w:type="dxa"/>
            <w:shd w:val="clear" w:color="auto" w:fill="auto"/>
            <w:noWrap/>
            <w:vAlign w:val="bottom"/>
            <w:hideMark/>
          </w:tcPr>
          <w:p w14:paraId="6BC4CF71"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27</w:t>
            </w:r>
          </w:p>
        </w:tc>
        <w:tc>
          <w:tcPr>
            <w:tcW w:w="734" w:type="dxa"/>
            <w:shd w:val="clear" w:color="auto" w:fill="auto"/>
            <w:noWrap/>
            <w:vAlign w:val="bottom"/>
            <w:hideMark/>
          </w:tcPr>
          <w:p w14:paraId="785712AA"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28</w:t>
            </w:r>
          </w:p>
        </w:tc>
        <w:tc>
          <w:tcPr>
            <w:tcW w:w="752" w:type="dxa"/>
            <w:shd w:val="clear" w:color="auto" w:fill="auto"/>
            <w:noWrap/>
            <w:vAlign w:val="bottom"/>
            <w:hideMark/>
          </w:tcPr>
          <w:p w14:paraId="3F740443"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29</w:t>
            </w:r>
          </w:p>
        </w:tc>
        <w:tc>
          <w:tcPr>
            <w:tcW w:w="750" w:type="dxa"/>
            <w:shd w:val="clear" w:color="auto" w:fill="auto"/>
            <w:noWrap/>
            <w:vAlign w:val="bottom"/>
            <w:hideMark/>
          </w:tcPr>
          <w:p w14:paraId="60D44598"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30</w:t>
            </w:r>
          </w:p>
        </w:tc>
        <w:tc>
          <w:tcPr>
            <w:tcW w:w="850" w:type="dxa"/>
            <w:shd w:val="clear" w:color="auto" w:fill="auto"/>
            <w:noWrap/>
            <w:vAlign w:val="bottom"/>
            <w:hideMark/>
          </w:tcPr>
          <w:p w14:paraId="4A7ECE75"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29</w:t>
            </w:r>
          </w:p>
        </w:tc>
        <w:tc>
          <w:tcPr>
            <w:tcW w:w="1087" w:type="dxa"/>
            <w:shd w:val="clear" w:color="auto" w:fill="auto"/>
            <w:noWrap/>
            <w:vAlign w:val="bottom"/>
            <w:hideMark/>
          </w:tcPr>
          <w:p w14:paraId="7DC32A1A"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27</w:t>
            </w:r>
          </w:p>
        </w:tc>
      </w:tr>
      <w:tr w:rsidR="00AC22B3" w:rsidRPr="0019356D" w14:paraId="75DB36FF" w14:textId="77777777" w:rsidTr="00C76348">
        <w:trPr>
          <w:trHeight w:val="255"/>
        </w:trPr>
        <w:tc>
          <w:tcPr>
            <w:tcW w:w="2268" w:type="dxa"/>
            <w:shd w:val="clear" w:color="auto" w:fill="auto"/>
            <w:noWrap/>
            <w:vAlign w:val="bottom"/>
            <w:hideMark/>
          </w:tcPr>
          <w:p w14:paraId="1E1A2ABE"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50</w:t>
            </w:r>
          </w:p>
        </w:tc>
        <w:tc>
          <w:tcPr>
            <w:tcW w:w="704" w:type="dxa"/>
            <w:shd w:val="clear" w:color="auto" w:fill="auto"/>
            <w:noWrap/>
            <w:vAlign w:val="bottom"/>
            <w:hideMark/>
          </w:tcPr>
          <w:p w14:paraId="6400DE6E"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23</w:t>
            </w:r>
          </w:p>
        </w:tc>
        <w:tc>
          <w:tcPr>
            <w:tcW w:w="796" w:type="dxa"/>
            <w:shd w:val="clear" w:color="auto" w:fill="auto"/>
            <w:noWrap/>
            <w:vAlign w:val="bottom"/>
            <w:hideMark/>
          </w:tcPr>
          <w:p w14:paraId="10621654"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27</w:t>
            </w:r>
          </w:p>
        </w:tc>
        <w:tc>
          <w:tcPr>
            <w:tcW w:w="601" w:type="dxa"/>
            <w:shd w:val="clear" w:color="auto" w:fill="auto"/>
            <w:noWrap/>
            <w:vAlign w:val="bottom"/>
            <w:hideMark/>
          </w:tcPr>
          <w:p w14:paraId="1DFF4B5E"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32</w:t>
            </w:r>
          </w:p>
        </w:tc>
        <w:tc>
          <w:tcPr>
            <w:tcW w:w="734" w:type="dxa"/>
            <w:shd w:val="clear" w:color="auto" w:fill="auto"/>
            <w:noWrap/>
            <w:vAlign w:val="bottom"/>
            <w:hideMark/>
          </w:tcPr>
          <w:p w14:paraId="65FB0720"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33</w:t>
            </w:r>
          </w:p>
        </w:tc>
        <w:tc>
          <w:tcPr>
            <w:tcW w:w="752" w:type="dxa"/>
            <w:shd w:val="clear" w:color="auto" w:fill="auto"/>
            <w:noWrap/>
            <w:vAlign w:val="bottom"/>
            <w:hideMark/>
          </w:tcPr>
          <w:p w14:paraId="6A4D3662"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34</w:t>
            </w:r>
          </w:p>
        </w:tc>
        <w:tc>
          <w:tcPr>
            <w:tcW w:w="750" w:type="dxa"/>
            <w:shd w:val="clear" w:color="auto" w:fill="auto"/>
            <w:noWrap/>
            <w:vAlign w:val="bottom"/>
            <w:hideMark/>
          </w:tcPr>
          <w:p w14:paraId="2F2C2CB0"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35</w:t>
            </w:r>
          </w:p>
        </w:tc>
        <w:tc>
          <w:tcPr>
            <w:tcW w:w="850" w:type="dxa"/>
            <w:shd w:val="clear" w:color="auto" w:fill="auto"/>
            <w:noWrap/>
            <w:vAlign w:val="bottom"/>
            <w:hideMark/>
          </w:tcPr>
          <w:p w14:paraId="4CBB22AB"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34</w:t>
            </w:r>
          </w:p>
        </w:tc>
        <w:tc>
          <w:tcPr>
            <w:tcW w:w="1087" w:type="dxa"/>
            <w:shd w:val="clear" w:color="auto" w:fill="auto"/>
            <w:noWrap/>
            <w:vAlign w:val="bottom"/>
            <w:hideMark/>
          </w:tcPr>
          <w:p w14:paraId="422DE5F1"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32</w:t>
            </w:r>
          </w:p>
        </w:tc>
      </w:tr>
      <w:tr w:rsidR="00AC22B3" w:rsidRPr="0019356D" w14:paraId="002A18D2" w14:textId="77777777" w:rsidTr="00C76348">
        <w:trPr>
          <w:trHeight w:val="255"/>
        </w:trPr>
        <w:tc>
          <w:tcPr>
            <w:tcW w:w="2268" w:type="dxa"/>
            <w:shd w:val="clear" w:color="auto" w:fill="auto"/>
            <w:noWrap/>
            <w:vAlign w:val="bottom"/>
            <w:hideMark/>
          </w:tcPr>
          <w:p w14:paraId="75D9DCC7"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75</w:t>
            </w:r>
          </w:p>
        </w:tc>
        <w:tc>
          <w:tcPr>
            <w:tcW w:w="704" w:type="dxa"/>
            <w:shd w:val="clear" w:color="auto" w:fill="auto"/>
            <w:noWrap/>
            <w:vAlign w:val="bottom"/>
            <w:hideMark/>
          </w:tcPr>
          <w:p w14:paraId="58931D0A"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26</w:t>
            </w:r>
          </w:p>
        </w:tc>
        <w:tc>
          <w:tcPr>
            <w:tcW w:w="796" w:type="dxa"/>
            <w:shd w:val="clear" w:color="auto" w:fill="auto"/>
            <w:noWrap/>
            <w:vAlign w:val="bottom"/>
            <w:hideMark/>
          </w:tcPr>
          <w:p w14:paraId="1ECDDB0E"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30</w:t>
            </w:r>
          </w:p>
        </w:tc>
        <w:tc>
          <w:tcPr>
            <w:tcW w:w="601" w:type="dxa"/>
            <w:shd w:val="clear" w:color="auto" w:fill="auto"/>
            <w:noWrap/>
            <w:vAlign w:val="bottom"/>
            <w:hideMark/>
          </w:tcPr>
          <w:p w14:paraId="5A597A6E"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38</w:t>
            </w:r>
          </w:p>
        </w:tc>
        <w:tc>
          <w:tcPr>
            <w:tcW w:w="734" w:type="dxa"/>
            <w:shd w:val="clear" w:color="auto" w:fill="auto"/>
            <w:noWrap/>
            <w:vAlign w:val="bottom"/>
            <w:hideMark/>
          </w:tcPr>
          <w:p w14:paraId="35BABFB4"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39</w:t>
            </w:r>
          </w:p>
        </w:tc>
        <w:tc>
          <w:tcPr>
            <w:tcW w:w="752" w:type="dxa"/>
            <w:shd w:val="clear" w:color="auto" w:fill="auto"/>
            <w:noWrap/>
            <w:vAlign w:val="bottom"/>
            <w:hideMark/>
          </w:tcPr>
          <w:p w14:paraId="58592BE3"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40</w:t>
            </w:r>
          </w:p>
        </w:tc>
        <w:tc>
          <w:tcPr>
            <w:tcW w:w="750" w:type="dxa"/>
            <w:shd w:val="clear" w:color="auto" w:fill="auto"/>
            <w:noWrap/>
            <w:vAlign w:val="bottom"/>
            <w:hideMark/>
          </w:tcPr>
          <w:p w14:paraId="6FF598F3"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41</w:t>
            </w:r>
          </w:p>
        </w:tc>
        <w:tc>
          <w:tcPr>
            <w:tcW w:w="850" w:type="dxa"/>
            <w:shd w:val="clear" w:color="auto" w:fill="auto"/>
            <w:noWrap/>
            <w:vAlign w:val="bottom"/>
            <w:hideMark/>
          </w:tcPr>
          <w:p w14:paraId="3BF99B4A"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40</w:t>
            </w:r>
          </w:p>
        </w:tc>
        <w:tc>
          <w:tcPr>
            <w:tcW w:w="1087" w:type="dxa"/>
            <w:shd w:val="clear" w:color="auto" w:fill="auto"/>
            <w:noWrap/>
            <w:vAlign w:val="bottom"/>
            <w:hideMark/>
          </w:tcPr>
          <w:p w14:paraId="71C726D8"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37</w:t>
            </w:r>
          </w:p>
        </w:tc>
      </w:tr>
      <w:tr w:rsidR="00AC22B3" w:rsidRPr="0019356D" w14:paraId="45159720" w14:textId="77777777" w:rsidTr="00C76348">
        <w:trPr>
          <w:trHeight w:val="255"/>
        </w:trPr>
        <w:tc>
          <w:tcPr>
            <w:tcW w:w="2268" w:type="dxa"/>
            <w:shd w:val="clear" w:color="auto" w:fill="auto"/>
            <w:noWrap/>
            <w:vAlign w:val="bottom"/>
            <w:hideMark/>
          </w:tcPr>
          <w:p w14:paraId="6A06D693"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85</w:t>
            </w:r>
          </w:p>
        </w:tc>
        <w:tc>
          <w:tcPr>
            <w:tcW w:w="704" w:type="dxa"/>
            <w:shd w:val="clear" w:color="auto" w:fill="auto"/>
            <w:noWrap/>
            <w:vAlign w:val="bottom"/>
            <w:hideMark/>
          </w:tcPr>
          <w:p w14:paraId="1E385765"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28</w:t>
            </w:r>
          </w:p>
        </w:tc>
        <w:tc>
          <w:tcPr>
            <w:tcW w:w="796" w:type="dxa"/>
            <w:shd w:val="clear" w:color="auto" w:fill="auto"/>
            <w:noWrap/>
            <w:vAlign w:val="bottom"/>
            <w:hideMark/>
          </w:tcPr>
          <w:p w14:paraId="727D91E8"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32</w:t>
            </w:r>
          </w:p>
        </w:tc>
        <w:tc>
          <w:tcPr>
            <w:tcW w:w="601" w:type="dxa"/>
            <w:shd w:val="clear" w:color="auto" w:fill="auto"/>
            <w:noWrap/>
            <w:vAlign w:val="bottom"/>
            <w:hideMark/>
          </w:tcPr>
          <w:p w14:paraId="565377C7"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41</w:t>
            </w:r>
          </w:p>
        </w:tc>
        <w:tc>
          <w:tcPr>
            <w:tcW w:w="734" w:type="dxa"/>
            <w:shd w:val="clear" w:color="auto" w:fill="auto"/>
            <w:noWrap/>
            <w:vAlign w:val="bottom"/>
            <w:hideMark/>
          </w:tcPr>
          <w:p w14:paraId="5B26E8EE"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43</w:t>
            </w:r>
          </w:p>
        </w:tc>
        <w:tc>
          <w:tcPr>
            <w:tcW w:w="752" w:type="dxa"/>
            <w:shd w:val="clear" w:color="auto" w:fill="auto"/>
            <w:noWrap/>
            <w:vAlign w:val="bottom"/>
            <w:hideMark/>
          </w:tcPr>
          <w:p w14:paraId="7EC2D1EB"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44</w:t>
            </w:r>
          </w:p>
        </w:tc>
        <w:tc>
          <w:tcPr>
            <w:tcW w:w="750" w:type="dxa"/>
            <w:shd w:val="clear" w:color="auto" w:fill="auto"/>
            <w:noWrap/>
            <w:vAlign w:val="bottom"/>
            <w:hideMark/>
          </w:tcPr>
          <w:p w14:paraId="12FC0DF3"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44</w:t>
            </w:r>
          </w:p>
        </w:tc>
        <w:tc>
          <w:tcPr>
            <w:tcW w:w="850" w:type="dxa"/>
            <w:shd w:val="clear" w:color="auto" w:fill="auto"/>
            <w:noWrap/>
            <w:vAlign w:val="bottom"/>
            <w:hideMark/>
          </w:tcPr>
          <w:p w14:paraId="6AAFD434"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43</w:t>
            </w:r>
          </w:p>
        </w:tc>
        <w:tc>
          <w:tcPr>
            <w:tcW w:w="1087" w:type="dxa"/>
            <w:shd w:val="clear" w:color="auto" w:fill="auto"/>
            <w:noWrap/>
            <w:vAlign w:val="bottom"/>
            <w:hideMark/>
          </w:tcPr>
          <w:p w14:paraId="766CC02E"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40</w:t>
            </w:r>
          </w:p>
        </w:tc>
      </w:tr>
      <w:tr w:rsidR="00AC22B3" w:rsidRPr="0019356D" w14:paraId="5A30312F" w14:textId="77777777" w:rsidTr="00C76348">
        <w:trPr>
          <w:trHeight w:val="255"/>
        </w:trPr>
        <w:tc>
          <w:tcPr>
            <w:tcW w:w="2268" w:type="dxa"/>
            <w:shd w:val="clear" w:color="auto" w:fill="auto"/>
            <w:noWrap/>
            <w:vAlign w:val="bottom"/>
            <w:hideMark/>
          </w:tcPr>
          <w:p w14:paraId="68538E8C"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90</w:t>
            </w:r>
          </w:p>
        </w:tc>
        <w:tc>
          <w:tcPr>
            <w:tcW w:w="704" w:type="dxa"/>
            <w:shd w:val="clear" w:color="auto" w:fill="auto"/>
            <w:noWrap/>
            <w:vAlign w:val="bottom"/>
            <w:hideMark/>
          </w:tcPr>
          <w:p w14:paraId="0CBB08C1"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29</w:t>
            </w:r>
          </w:p>
        </w:tc>
        <w:tc>
          <w:tcPr>
            <w:tcW w:w="796" w:type="dxa"/>
            <w:shd w:val="clear" w:color="auto" w:fill="auto"/>
            <w:noWrap/>
            <w:vAlign w:val="bottom"/>
            <w:hideMark/>
          </w:tcPr>
          <w:p w14:paraId="7E4B9C0A"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34</w:t>
            </w:r>
          </w:p>
        </w:tc>
        <w:tc>
          <w:tcPr>
            <w:tcW w:w="601" w:type="dxa"/>
            <w:shd w:val="clear" w:color="auto" w:fill="auto"/>
            <w:noWrap/>
            <w:vAlign w:val="bottom"/>
            <w:hideMark/>
          </w:tcPr>
          <w:p w14:paraId="35AE3A39"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43</w:t>
            </w:r>
          </w:p>
        </w:tc>
        <w:tc>
          <w:tcPr>
            <w:tcW w:w="734" w:type="dxa"/>
            <w:shd w:val="clear" w:color="auto" w:fill="auto"/>
            <w:noWrap/>
            <w:vAlign w:val="bottom"/>
            <w:hideMark/>
          </w:tcPr>
          <w:p w14:paraId="77FC69A8"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45</w:t>
            </w:r>
          </w:p>
        </w:tc>
        <w:tc>
          <w:tcPr>
            <w:tcW w:w="752" w:type="dxa"/>
            <w:shd w:val="clear" w:color="auto" w:fill="auto"/>
            <w:noWrap/>
            <w:vAlign w:val="bottom"/>
            <w:hideMark/>
          </w:tcPr>
          <w:p w14:paraId="296E40C7"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46</w:t>
            </w:r>
          </w:p>
        </w:tc>
        <w:tc>
          <w:tcPr>
            <w:tcW w:w="750" w:type="dxa"/>
            <w:shd w:val="clear" w:color="auto" w:fill="auto"/>
            <w:noWrap/>
            <w:vAlign w:val="bottom"/>
            <w:hideMark/>
          </w:tcPr>
          <w:p w14:paraId="05B7D7C1"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47</w:t>
            </w:r>
          </w:p>
        </w:tc>
        <w:tc>
          <w:tcPr>
            <w:tcW w:w="850" w:type="dxa"/>
            <w:shd w:val="clear" w:color="auto" w:fill="auto"/>
            <w:noWrap/>
            <w:vAlign w:val="bottom"/>
            <w:hideMark/>
          </w:tcPr>
          <w:p w14:paraId="78DCC932"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45</w:t>
            </w:r>
          </w:p>
        </w:tc>
        <w:tc>
          <w:tcPr>
            <w:tcW w:w="1087" w:type="dxa"/>
            <w:shd w:val="clear" w:color="auto" w:fill="auto"/>
            <w:noWrap/>
            <w:vAlign w:val="bottom"/>
            <w:hideMark/>
          </w:tcPr>
          <w:p w14:paraId="491F8B4F"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42</w:t>
            </w:r>
          </w:p>
        </w:tc>
      </w:tr>
      <w:tr w:rsidR="00AC22B3" w:rsidRPr="0019356D" w14:paraId="0C45372C" w14:textId="77777777" w:rsidTr="00C76348">
        <w:trPr>
          <w:trHeight w:val="255"/>
        </w:trPr>
        <w:tc>
          <w:tcPr>
            <w:tcW w:w="2268" w:type="dxa"/>
            <w:shd w:val="clear" w:color="auto" w:fill="auto"/>
            <w:noWrap/>
            <w:vAlign w:val="bottom"/>
            <w:hideMark/>
          </w:tcPr>
          <w:p w14:paraId="05DBCFF7"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95</w:t>
            </w:r>
          </w:p>
        </w:tc>
        <w:tc>
          <w:tcPr>
            <w:tcW w:w="704" w:type="dxa"/>
            <w:shd w:val="clear" w:color="auto" w:fill="auto"/>
            <w:noWrap/>
            <w:vAlign w:val="bottom"/>
            <w:hideMark/>
          </w:tcPr>
          <w:p w14:paraId="2D8EDDC2"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31</w:t>
            </w:r>
          </w:p>
        </w:tc>
        <w:tc>
          <w:tcPr>
            <w:tcW w:w="796" w:type="dxa"/>
            <w:shd w:val="clear" w:color="auto" w:fill="auto"/>
            <w:noWrap/>
            <w:vAlign w:val="bottom"/>
            <w:hideMark/>
          </w:tcPr>
          <w:p w14:paraId="5CDE267A"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36</w:t>
            </w:r>
          </w:p>
        </w:tc>
        <w:tc>
          <w:tcPr>
            <w:tcW w:w="601" w:type="dxa"/>
            <w:shd w:val="clear" w:color="auto" w:fill="auto"/>
            <w:noWrap/>
            <w:vAlign w:val="bottom"/>
            <w:hideMark/>
          </w:tcPr>
          <w:p w14:paraId="51770FB4"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46</w:t>
            </w:r>
          </w:p>
        </w:tc>
        <w:tc>
          <w:tcPr>
            <w:tcW w:w="734" w:type="dxa"/>
            <w:shd w:val="clear" w:color="auto" w:fill="auto"/>
            <w:noWrap/>
            <w:vAlign w:val="bottom"/>
            <w:hideMark/>
          </w:tcPr>
          <w:p w14:paraId="5FA2501E"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48</w:t>
            </w:r>
          </w:p>
        </w:tc>
        <w:tc>
          <w:tcPr>
            <w:tcW w:w="752" w:type="dxa"/>
            <w:shd w:val="clear" w:color="auto" w:fill="auto"/>
            <w:noWrap/>
            <w:vAlign w:val="bottom"/>
            <w:hideMark/>
          </w:tcPr>
          <w:p w14:paraId="70E88608"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49</w:t>
            </w:r>
          </w:p>
        </w:tc>
        <w:tc>
          <w:tcPr>
            <w:tcW w:w="750" w:type="dxa"/>
            <w:shd w:val="clear" w:color="auto" w:fill="auto"/>
            <w:noWrap/>
            <w:vAlign w:val="bottom"/>
            <w:hideMark/>
          </w:tcPr>
          <w:p w14:paraId="236AD9C5"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50</w:t>
            </w:r>
          </w:p>
        </w:tc>
        <w:tc>
          <w:tcPr>
            <w:tcW w:w="850" w:type="dxa"/>
            <w:shd w:val="clear" w:color="auto" w:fill="auto"/>
            <w:noWrap/>
            <w:vAlign w:val="bottom"/>
            <w:hideMark/>
          </w:tcPr>
          <w:p w14:paraId="55310D97"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49</w:t>
            </w:r>
          </w:p>
        </w:tc>
        <w:tc>
          <w:tcPr>
            <w:tcW w:w="1087" w:type="dxa"/>
            <w:shd w:val="clear" w:color="auto" w:fill="auto"/>
            <w:noWrap/>
            <w:vAlign w:val="bottom"/>
            <w:hideMark/>
          </w:tcPr>
          <w:p w14:paraId="55E34E71"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46</w:t>
            </w:r>
          </w:p>
        </w:tc>
      </w:tr>
      <w:tr w:rsidR="00AC22B3" w:rsidRPr="0019356D" w14:paraId="2A0AF843" w14:textId="77777777" w:rsidTr="00C76348">
        <w:trPr>
          <w:trHeight w:val="255"/>
        </w:trPr>
        <w:tc>
          <w:tcPr>
            <w:tcW w:w="2268" w:type="dxa"/>
            <w:shd w:val="clear" w:color="auto" w:fill="auto"/>
            <w:noWrap/>
            <w:vAlign w:val="bottom"/>
            <w:hideMark/>
          </w:tcPr>
          <w:p w14:paraId="56623899" w14:textId="77777777" w:rsidR="00AC22B3" w:rsidRPr="0019356D" w:rsidRDefault="00AC22B3" w:rsidP="001B3BD4">
            <w:pPr>
              <w:widowControl/>
              <w:jc w:val="right"/>
              <w:rPr>
                <w:rFonts w:cs="Arial"/>
                <w:color w:val="000000"/>
                <w:sz w:val="16"/>
                <w:szCs w:val="16"/>
                <w:lang w:eastAsia="en-GB" w:bidi="ar-SA"/>
              </w:rPr>
            </w:pPr>
          </w:p>
        </w:tc>
        <w:tc>
          <w:tcPr>
            <w:tcW w:w="704" w:type="dxa"/>
            <w:shd w:val="clear" w:color="auto" w:fill="auto"/>
            <w:noWrap/>
            <w:vAlign w:val="bottom"/>
            <w:hideMark/>
          </w:tcPr>
          <w:p w14:paraId="662A77BF" w14:textId="77777777" w:rsidR="00AC22B3" w:rsidRPr="0019356D" w:rsidRDefault="00AC22B3" w:rsidP="001B3BD4">
            <w:pPr>
              <w:widowControl/>
              <w:ind w:firstLineChars="100" w:firstLine="200"/>
              <w:rPr>
                <w:rFonts w:ascii="Times New Roman" w:hAnsi="Times New Roman"/>
                <w:sz w:val="20"/>
                <w:szCs w:val="20"/>
                <w:lang w:eastAsia="en-GB" w:bidi="ar-SA"/>
              </w:rPr>
            </w:pPr>
          </w:p>
        </w:tc>
        <w:tc>
          <w:tcPr>
            <w:tcW w:w="796" w:type="dxa"/>
            <w:shd w:val="clear" w:color="auto" w:fill="auto"/>
            <w:noWrap/>
            <w:vAlign w:val="bottom"/>
            <w:hideMark/>
          </w:tcPr>
          <w:p w14:paraId="0640D666" w14:textId="77777777" w:rsidR="00AC22B3" w:rsidRPr="0019356D" w:rsidRDefault="00AC22B3" w:rsidP="001B3BD4">
            <w:pPr>
              <w:widowControl/>
              <w:rPr>
                <w:rFonts w:ascii="Times New Roman" w:hAnsi="Times New Roman"/>
                <w:sz w:val="20"/>
                <w:szCs w:val="20"/>
                <w:lang w:eastAsia="en-GB" w:bidi="ar-SA"/>
              </w:rPr>
            </w:pPr>
          </w:p>
        </w:tc>
        <w:tc>
          <w:tcPr>
            <w:tcW w:w="601" w:type="dxa"/>
            <w:shd w:val="clear" w:color="auto" w:fill="auto"/>
            <w:noWrap/>
            <w:vAlign w:val="bottom"/>
            <w:hideMark/>
          </w:tcPr>
          <w:p w14:paraId="006DABC6" w14:textId="77777777" w:rsidR="00AC22B3" w:rsidRPr="0019356D" w:rsidRDefault="00AC22B3" w:rsidP="001B3BD4">
            <w:pPr>
              <w:widowControl/>
              <w:rPr>
                <w:rFonts w:ascii="Times New Roman" w:hAnsi="Times New Roman"/>
                <w:sz w:val="20"/>
                <w:szCs w:val="20"/>
                <w:lang w:eastAsia="en-GB" w:bidi="ar-SA"/>
              </w:rPr>
            </w:pPr>
          </w:p>
        </w:tc>
        <w:tc>
          <w:tcPr>
            <w:tcW w:w="734" w:type="dxa"/>
            <w:shd w:val="clear" w:color="auto" w:fill="auto"/>
            <w:noWrap/>
            <w:vAlign w:val="bottom"/>
            <w:hideMark/>
          </w:tcPr>
          <w:p w14:paraId="0A637E8F" w14:textId="77777777" w:rsidR="00AC22B3" w:rsidRPr="0019356D" w:rsidRDefault="00AC22B3" w:rsidP="001B3BD4">
            <w:pPr>
              <w:widowControl/>
              <w:rPr>
                <w:rFonts w:ascii="Times New Roman" w:hAnsi="Times New Roman"/>
                <w:sz w:val="20"/>
                <w:szCs w:val="20"/>
                <w:lang w:eastAsia="en-GB" w:bidi="ar-SA"/>
              </w:rPr>
            </w:pPr>
          </w:p>
        </w:tc>
        <w:tc>
          <w:tcPr>
            <w:tcW w:w="752" w:type="dxa"/>
            <w:shd w:val="clear" w:color="auto" w:fill="auto"/>
            <w:noWrap/>
            <w:vAlign w:val="bottom"/>
            <w:hideMark/>
          </w:tcPr>
          <w:p w14:paraId="25FAED33" w14:textId="77777777" w:rsidR="00AC22B3" w:rsidRPr="0019356D" w:rsidRDefault="00AC22B3" w:rsidP="001B3BD4">
            <w:pPr>
              <w:widowControl/>
              <w:rPr>
                <w:rFonts w:ascii="Times New Roman" w:hAnsi="Times New Roman"/>
                <w:sz w:val="20"/>
                <w:szCs w:val="20"/>
                <w:lang w:eastAsia="en-GB" w:bidi="ar-SA"/>
              </w:rPr>
            </w:pPr>
          </w:p>
        </w:tc>
        <w:tc>
          <w:tcPr>
            <w:tcW w:w="750" w:type="dxa"/>
            <w:shd w:val="clear" w:color="auto" w:fill="auto"/>
            <w:noWrap/>
            <w:vAlign w:val="bottom"/>
            <w:hideMark/>
          </w:tcPr>
          <w:p w14:paraId="266A73D1" w14:textId="77777777" w:rsidR="00AC22B3" w:rsidRPr="0019356D" w:rsidRDefault="00AC22B3" w:rsidP="001B3BD4">
            <w:pPr>
              <w:widowControl/>
              <w:rPr>
                <w:rFonts w:ascii="Times New Roman" w:hAnsi="Times New Roman"/>
                <w:sz w:val="20"/>
                <w:szCs w:val="20"/>
                <w:lang w:eastAsia="en-GB" w:bidi="ar-SA"/>
              </w:rPr>
            </w:pPr>
          </w:p>
        </w:tc>
        <w:tc>
          <w:tcPr>
            <w:tcW w:w="850" w:type="dxa"/>
            <w:shd w:val="clear" w:color="auto" w:fill="auto"/>
            <w:noWrap/>
            <w:vAlign w:val="bottom"/>
            <w:hideMark/>
          </w:tcPr>
          <w:p w14:paraId="5CE9D02F" w14:textId="77777777" w:rsidR="00AC22B3" w:rsidRPr="0019356D" w:rsidRDefault="00AC22B3" w:rsidP="001B3BD4">
            <w:pPr>
              <w:widowControl/>
              <w:rPr>
                <w:rFonts w:ascii="Times New Roman" w:hAnsi="Times New Roman"/>
                <w:sz w:val="20"/>
                <w:szCs w:val="20"/>
                <w:lang w:eastAsia="en-GB" w:bidi="ar-SA"/>
              </w:rPr>
            </w:pPr>
          </w:p>
        </w:tc>
        <w:tc>
          <w:tcPr>
            <w:tcW w:w="1087" w:type="dxa"/>
            <w:shd w:val="clear" w:color="auto" w:fill="auto"/>
            <w:noWrap/>
            <w:vAlign w:val="bottom"/>
            <w:hideMark/>
          </w:tcPr>
          <w:p w14:paraId="10E48690" w14:textId="77777777" w:rsidR="00AC22B3" w:rsidRPr="0019356D" w:rsidRDefault="00AC22B3" w:rsidP="001B3BD4">
            <w:pPr>
              <w:widowControl/>
              <w:rPr>
                <w:rFonts w:ascii="Times New Roman" w:hAnsi="Times New Roman"/>
                <w:sz w:val="20"/>
                <w:szCs w:val="20"/>
                <w:lang w:eastAsia="en-GB" w:bidi="ar-SA"/>
              </w:rPr>
            </w:pPr>
          </w:p>
        </w:tc>
      </w:tr>
      <w:tr w:rsidR="00AC22B3" w:rsidRPr="0019356D" w14:paraId="12C1D269" w14:textId="77777777" w:rsidTr="00C76348">
        <w:trPr>
          <w:trHeight w:val="255"/>
        </w:trPr>
        <w:tc>
          <w:tcPr>
            <w:tcW w:w="2268" w:type="dxa"/>
            <w:shd w:val="clear" w:color="auto" w:fill="auto"/>
            <w:noWrap/>
            <w:vAlign w:val="bottom"/>
            <w:hideMark/>
          </w:tcPr>
          <w:p w14:paraId="01E2F3CA" w14:textId="77777777" w:rsidR="00AC22B3" w:rsidRPr="0019356D" w:rsidRDefault="00AC22B3" w:rsidP="001B3BD4">
            <w:pPr>
              <w:widowControl/>
              <w:rPr>
                <w:rFonts w:cs="Arial"/>
                <w:color w:val="000000"/>
                <w:sz w:val="16"/>
                <w:szCs w:val="16"/>
                <w:lang w:eastAsia="en-GB" w:bidi="ar-SA"/>
              </w:rPr>
            </w:pPr>
            <w:r w:rsidRPr="0019356D">
              <w:rPr>
                <w:rFonts w:cs="Arial"/>
                <w:color w:val="000000"/>
                <w:sz w:val="16"/>
                <w:szCs w:val="16"/>
                <w:lang w:eastAsia="en-GB" w:bidi="ar-SA"/>
              </w:rPr>
              <w:t>Mean intake</w:t>
            </w:r>
          </w:p>
        </w:tc>
        <w:tc>
          <w:tcPr>
            <w:tcW w:w="704" w:type="dxa"/>
            <w:shd w:val="clear" w:color="auto" w:fill="auto"/>
            <w:noWrap/>
            <w:vAlign w:val="bottom"/>
            <w:hideMark/>
          </w:tcPr>
          <w:p w14:paraId="32BE2F3D"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23</w:t>
            </w:r>
          </w:p>
        </w:tc>
        <w:tc>
          <w:tcPr>
            <w:tcW w:w="796" w:type="dxa"/>
            <w:shd w:val="clear" w:color="auto" w:fill="auto"/>
            <w:noWrap/>
            <w:vAlign w:val="bottom"/>
            <w:hideMark/>
          </w:tcPr>
          <w:p w14:paraId="452718CB"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27</w:t>
            </w:r>
          </w:p>
        </w:tc>
        <w:tc>
          <w:tcPr>
            <w:tcW w:w="601" w:type="dxa"/>
            <w:shd w:val="clear" w:color="auto" w:fill="auto"/>
            <w:noWrap/>
            <w:vAlign w:val="bottom"/>
            <w:hideMark/>
          </w:tcPr>
          <w:p w14:paraId="07EEF13A"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33</w:t>
            </w:r>
          </w:p>
        </w:tc>
        <w:tc>
          <w:tcPr>
            <w:tcW w:w="734" w:type="dxa"/>
            <w:shd w:val="clear" w:color="auto" w:fill="auto"/>
            <w:noWrap/>
            <w:vAlign w:val="bottom"/>
            <w:hideMark/>
          </w:tcPr>
          <w:p w14:paraId="74A8EA80"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34</w:t>
            </w:r>
          </w:p>
        </w:tc>
        <w:tc>
          <w:tcPr>
            <w:tcW w:w="752" w:type="dxa"/>
            <w:shd w:val="clear" w:color="auto" w:fill="auto"/>
            <w:noWrap/>
            <w:vAlign w:val="bottom"/>
            <w:hideMark/>
          </w:tcPr>
          <w:p w14:paraId="0F3925B1"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35</w:t>
            </w:r>
          </w:p>
        </w:tc>
        <w:tc>
          <w:tcPr>
            <w:tcW w:w="750" w:type="dxa"/>
            <w:shd w:val="clear" w:color="auto" w:fill="auto"/>
            <w:noWrap/>
            <w:vAlign w:val="bottom"/>
            <w:hideMark/>
          </w:tcPr>
          <w:p w14:paraId="1E67AE13"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36</w:t>
            </w:r>
          </w:p>
        </w:tc>
        <w:tc>
          <w:tcPr>
            <w:tcW w:w="850" w:type="dxa"/>
            <w:shd w:val="clear" w:color="auto" w:fill="auto"/>
            <w:noWrap/>
            <w:vAlign w:val="bottom"/>
            <w:hideMark/>
          </w:tcPr>
          <w:p w14:paraId="0A8DE047"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35</w:t>
            </w:r>
          </w:p>
        </w:tc>
        <w:tc>
          <w:tcPr>
            <w:tcW w:w="1087" w:type="dxa"/>
            <w:shd w:val="clear" w:color="auto" w:fill="auto"/>
            <w:noWrap/>
            <w:vAlign w:val="bottom"/>
            <w:hideMark/>
          </w:tcPr>
          <w:p w14:paraId="7FE1C14E"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32</w:t>
            </w:r>
          </w:p>
        </w:tc>
      </w:tr>
      <w:tr w:rsidR="00AC22B3" w:rsidRPr="0019356D" w14:paraId="441AEF3B" w14:textId="77777777" w:rsidTr="00C76348">
        <w:trPr>
          <w:trHeight w:val="255"/>
        </w:trPr>
        <w:tc>
          <w:tcPr>
            <w:tcW w:w="2268" w:type="dxa"/>
            <w:shd w:val="clear" w:color="auto" w:fill="auto"/>
            <w:noWrap/>
            <w:vAlign w:val="bottom"/>
            <w:hideMark/>
          </w:tcPr>
          <w:p w14:paraId="30B1D066" w14:textId="77777777" w:rsidR="00AC22B3" w:rsidRPr="0019356D" w:rsidRDefault="00AC22B3" w:rsidP="001B3BD4">
            <w:pPr>
              <w:widowControl/>
              <w:jc w:val="right"/>
              <w:rPr>
                <w:rFonts w:cs="Arial"/>
                <w:color w:val="000000"/>
                <w:sz w:val="16"/>
                <w:szCs w:val="16"/>
                <w:lang w:eastAsia="en-GB" w:bidi="ar-SA"/>
              </w:rPr>
            </w:pPr>
          </w:p>
        </w:tc>
        <w:tc>
          <w:tcPr>
            <w:tcW w:w="704" w:type="dxa"/>
            <w:shd w:val="clear" w:color="auto" w:fill="auto"/>
            <w:noWrap/>
            <w:vAlign w:val="bottom"/>
            <w:hideMark/>
          </w:tcPr>
          <w:p w14:paraId="53A86C79" w14:textId="77777777" w:rsidR="00AC22B3" w:rsidRPr="0019356D" w:rsidRDefault="00AC22B3" w:rsidP="001B3BD4">
            <w:pPr>
              <w:widowControl/>
              <w:rPr>
                <w:rFonts w:ascii="Times New Roman" w:hAnsi="Times New Roman"/>
                <w:sz w:val="20"/>
                <w:szCs w:val="20"/>
                <w:lang w:eastAsia="en-GB" w:bidi="ar-SA"/>
              </w:rPr>
            </w:pPr>
          </w:p>
        </w:tc>
        <w:tc>
          <w:tcPr>
            <w:tcW w:w="796" w:type="dxa"/>
            <w:shd w:val="clear" w:color="auto" w:fill="auto"/>
            <w:noWrap/>
            <w:vAlign w:val="bottom"/>
            <w:hideMark/>
          </w:tcPr>
          <w:p w14:paraId="7F565158" w14:textId="77777777" w:rsidR="00AC22B3" w:rsidRPr="0019356D" w:rsidRDefault="00AC22B3" w:rsidP="001B3BD4">
            <w:pPr>
              <w:widowControl/>
              <w:rPr>
                <w:rFonts w:ascii="Times New Roman" w:hAnsi="Times New Roman"/>
                <w:sz w:val="20"/>
                <w:szCs w:val="20"/>
                <w:lang w:eastAsia="en-GB" w:bidi="ar-SA"/>
              </w:rPr>
            </w:pPr>
          </w:p>
        </w:tc>
        <w:tc>
          <w:tcPr>
            <w:tcW w:w="601" w:type="dxa"/>
            <w:shd w:val="clear" w:color="auto" w:fill="auto"/>
            <w:noWrap/>
            <w:vAlign w:val="bottom"/>
            <w:hideMark/>
          </w:tcPr>
          <w:p w14:paraId="2D7B92AF" w14:textId="77777777" w:rsidR="00AC22B3" w:rsidRPr="0019356D" w:rsidRDefault="00AC22B3" w:rsidP="001B3BD4">
            <w:pPr>
              <w:widowControl/>
              <w:rPr>
                <w:rFonts w:ascii="Times New Roman" w:hAnsi="Times New Roman"/>
                <w:sz w:val="20"/>
                <w:szCs w:val="20"/>
                <w:lang w:eastAsia="en-GB" w:bidi="ar-SA"/>
              </w:rPr>
            </w:pPr>
          </w:p>
        </w:tc>
        <w:tc>
          <w:tcPr>
            <w:tcW w:w="734" w:type="dxa"/>
            <w:shd w:val="clear" w:color="auto" w:fill="auto"/>
            <w:noWrap/>
            <w:vAlign w:val="bottom"/>
            <w:hideMark/>
          </w:tcPr>
          <w:p w14:paraId="78B704D5" w14:textId="77777777" w:rsidR="00AC22B3" w:rsidRPr="0019356D" w:rsidRDefault="00AC22B3" w:rsidP="001B3BD4">
            <w:pPr>
              <w:widowControl/>
              <w:rPr>
                <w:rFonts w:ascii="Times New Roman" w:hAnsi="Times New Roman"/>
                <w:sz w:val="20"/>
                <w:szCs w:val="20"/>
                <w:lang w:eastAsia="en-GB" w:bidi="ar-SA"/>
              </w:rPr>
            </w:pPr>
          </w:p>
        </w:tc>
        <w:tc>
          <w:tcPr>
            <w:tcW w:w="752" w:type="dxa"/>
            <w:shd w:val="clear" w:color="auto" w:fill="auto"/>
            <w:noWrap/>
            <w:vAlign w:val="bottom"/>
            <w:hideMark/>
          </w:tcPr>
          <w:p w14:paraId="2041679A" w14:textId="77777777" w:rsidR="00AC22B3" w:rsidRPr="0019356D" w:rsidRDefault="00AC22B3" w:rsidP="001B3BD4">
            <w:pPr>
              <w:widowControl/>
              <w:rPr>
                <w:rFonts w:ascii="Times New Roman" w:hAnsi="Times New Roman"/>
                <w:sz w:val="20"/>
                <w:szCs w:val="20"/>
                <w:lang w:eastAsia="en-GB" w:bidi="ar-SA"/>
              </w:rPr>
            </w:pPr>
          </w:p>
        </w:tc>
        <w:tc>
          <w:tcPr>
            <w:tcW w:w="750" w:type="dxa"/>
            <w:shd w:val="clear" w:color="auto" w:fill="auto"/>
            <w:noWrap/>
            <w:vAlign w:val="bottom"/>
            <w:hideMark/>
          </w:tcPr>
          <w:p w14:paraId="08303B1E" w14:textId="77777777" w:rsidR="00AC22B3" w:rsidRPr="0019356D" w:rsidRDefault="00AC22B3" w:rsidP="001B3BD4">
            <w:pPr>
              <w:widowControl/>
              <w:rPr>
                <w:rFonts w:ascii="Times New Roman" w:hAnsi="Times New Roman"/>
                <w:sz w:val="20"/>
                <w:szCs w:val="20"/>
                <w:lang w:eastAsia="en-GB" w:bidi="ar-SA"/>
              </w:rPr>
            </w:pPr>
          </w:p>
        </w:tc>
        <w:tc>
          <w:tcPr>
            <w:tcW w:w="850" w:type="dxa"/>
            <w:shd w:val="clear" w:color="auto" w:fill="auto"/>
            <w:noWrap/>
            <w:vAlign w:val="bottom"/>
            <w:hideMark/>
          </w:tcPr>
          <w:p w14:paraId="3D589BE8" w14:textId="77777777" w:rsidR="00AC22B3" w:rsidRPr="0019356D" w:rsidRDefault="00AC22B3" w:rsidP="001B3BD4">
            <w:pPr>
              <w:widowControl/>
              <w:rPr>
                <w:rFonts w:ascii="Times New Roman" w:hAnsi="Times New Roman"/>
                <w:sz w:val="20"/>
                <w:szCs w:val="20"/>
                <w:lang w:eastAsia="en-GB" w:bidi="ar-SA"/>
              </w:rPr>
            </w:pPr>
          </w:p>
        </w:tc>
        <w:tc>
          <w:tcPr>
            <w:tcW w:w="1087" w:type="dxa"/>
            <w:shd w:val="clear" w:color="auto" w:fill="auto"/>
            <w:noWrap/>
            <w:vAlign w:val="bottom"/>
            <w:hideMark/>
          </w:tcPr>
          <w:p w14:paraId="0B61DAFE" w14:textId="77777777" w:rsidR="00AC22B3" w:rsidRPr="0019356D" w:rsidRDefault="00AC22B3" w:rsidP="001B3BD4">
            <w:pPr>
              <w:widowControl/>
              <w:rPr>
                <w:rFonts w:ascii="Times New Roman" w:hAnsi="Times New Roman"/>
                <w:sz w:val="20"/>
                <w:szCs w:val="20"/>
                <w:lang w:eastAsia="en-GB" w:bidi="ar-SA"/>
              </w:rPr>
            </w:pPr>
          </w:p>
        </w:tc>
      </w:tr>
      <w:tr w:rsidR="00AC22B3" w:rsidRPr="0019356D" w14:paraId="7875357F" w14:textId="77777777" w:rsidTr="00C76348">
        <w:trPr>
          <w:trHeight w:val="255"/>
        </w:trPr>
        <w:tc>
          <w:tcPr>
            <w:tcW w:w="2268" w:type="dxa"/>
            <w:shd w:val="clear" w:color="auto" w:fill="auto"/>
            <w:noWrap/>
            <w:vAlign w:val="bottom"/>
            <w:hideMark/>
          </w:tcPr>
          <w:p w14:paraId="585883AC" w14:textId="6C6C597C" w:rsidR="00AC22B3" w:rsidRPr="0019356D" w:rsidRDefault="00AC22B3" w:rsidP="001B3BD4">
            <w:pPr>
              <w:widowControl/>
              <w:rPr>
                <w:rFonts w:cs="Arial"/>
                <w:b/>
                <w:bCs/>
                <w:color w:val="000000"/>
                <w:sz w:val="16"/>
                <w:szCs w:val="16"/>
                <w:lang w:eastAsia="en-GB" w:bidi="ar-SA"/>
              </w:rPr>
            </w:pPr>
            <w:r w:rsidRPr="0019356D">
              <w:rPr>
                <w:rFonts w:cs="Arial"/>
                <w:b/>
                <w:bCs/>
                <w:color w:val="000000"/>
                <w:sz w:val="16"/>
                <w:szCs w:val="16"/>
                <w:lang w:eastAsia="en-GB" w:bidi="ar-SA"/>
              </w:rPr>
              <w:t>Estimated Average Requirement (EAR</w:t>
            </w:r>
            <w:r w:rsidRPr="0019356D" w:rsidDel="007D661A">
              <w:rPr>
                <w:rFonts w:cs="Arial"/>
                <w:b/>
                <w:bCs/>
                <w:color w:val="000000"/>
                <w:sz w:val="16"/>
                <w:szCs w:val="16"/>
                <w:lang w:eastAsia="en-GB" w:bidi="ar-SA"/>
              </w:rPr>
              <w:t>)</w:t>
            </w:r>
          </w:p>
        </w:tc>
        <w:tc>
          <w:tcPr>
            <w:tcW w:w="704" w:type="dxa"/>
            <w:shd w:val="clear" w:color="auto" w:fill="auto"/>
            <w:noWrap/>
            <w:vAlign w:val="bottom"/>
            <w:hideMark/>
          </w:tcPr>
          <w:p w14:paraId="2902C6B6" w14:textId="77777777" w:rsidR="00AC22B3" w:rsidRPr="0019356D" w:rsidRDefault="00AC22B3" w:rsidP="001B3BD4">
            <w:pPr>
              <w:widowControl/>
              <w:jc w:val="right"/>
              <w:rPr>
                <w:rFonts w:cs="Arial"/>
                <w:b/>
                <w:bCs/>
                <w:color w:val="000000"/>
                <w:sz w:val="16"/>
                <w:szCs w:val="16"/>
                <w:lang w:eastAsia="en-GB" w:bidi="ar-SA"/>
              </w:rPr>
            </w:pPr>
            <w:r w:rsidRPr="0019356D">
              <w:rPr>
                <w:rFonts w:cs="Arial"/>
                <w:b/>
                <w:bCs/>
                <w:color w:val="000000"/>
                <w:sz w:val="16"/>
                <w:szCs w:val="16"/>
                <w:lang w:eastAsia="en-GB" w:bidi="ar-SA"/>
              </w:rPr>
              <w:t>5</w:t>
            </w:r>
          </w:p>
        </w:tc>
        <w:tc>
          <w:tcPr>
            <w:tcW w:w="796" w:type="dxa"/>
            <w:shd w:val="clear" w:color="auto" w:fill="auto"/>
            <w:noWrap/>
            <w:vAlign w:val="bottom"/>
            <w:hideMark/>
          </w:tcPr>
          <w:p w14:paraId="6A8DFF58" w14:textId="77777777" w:rsidR="00AC22B3" w:rsidRPr="0019356D" w:rsidRDefault="00AC22B3" w:rsidP="001B3BD4">
            <w:pPr>
              <w:widowControl/>
              <w:jc w:val="right"/>
              <w:rPr>
                <w:rFonts w:cs="Arial"/>
                <w:b/>
                <w:bCs/>
                <w:color w:val="000000"/>
                <w:sz w:val="16"/>
                <w:szCs w:val="16"/>
                <w:lang w:eastAsia="en-GB" w:bidi="ar-SA"/>
              </w:rPr>
            </w:pPr>
            <w:r w:rsidRPr="0019356D">
              <w:rPr>
                <w:rFonts w:cs="Arial"/>
                <w:b/>
                <w:bCs/>
                <w:color w:val="000000"/>
                <w:sz w:val="16"/>
                <w:szCs w:val="16"/>
                <w:lang w:eastAsia="en-GB" w:bidi="ar-SA"/>
              </w:rPr>
              <w:t>6</w:t>
            </w:r>
          </w:p>
        </w:tc>
        <w:tc>
          <w:tcPr>
            <w:tcW w:w="601" w:type="dxa"/>
            <w:shd w:val="clear" w:color="auto" w:fill="auto"/>
            <w:noWrap/>
            <w:vAlign w:val="bottom"/>
            <w:hideMark/>
          </w:tcPr>
          <w:p w14:paraId="6489BAE4" w14:textId="77777777" w:rsidR="00AC22B3" w:rsidRPr="0019356D" w:rsidRDefault="00AC22B3" w:rsidP="001B3BD4">
            <w:pPr>
              <w:widowControl/>
              <w:jc w:val="right"/>
              <w:rPr>
                <w:rFonts w:cs="Arial"/>
                <w:b/>
                <w:bCs/>
                <w:color w:val="000000"/>
                <w:sz w:val="16"/>
                <w:szCs w:val="16"/>
                <w:lang w:eastAsia="en-GB" w:bidi="ar-SA"/>
              </w:rPr>
            </w:pPr>
            <w:r w:rsidRPr="0019356D">
              <w:rPr>
                <w:rFonts w:cs="Arial"/>
                <w:b/>
                <w:bCs/>
                <w:color w:val="000000"/>
                <w:sz w:val="16"/>
                <w:szCs w:val="16"/>
                <w:lang w:eastAsia="en-GB" w:bidi="ar-SA"/>
              </w:rPr>
              <w:t>9</w:t>
            </w:r>
          </w:p>
        </w:tc>
        <w:tc>
          <w:tcPr>
            <w:tcW w:w="734" w:type="dxa"/>
            <w:shd w:val="clear" w:color="auto" w:fill="auto"/>
            <w:noWrap/>
            <w:vAlign w:val="bottom"/>
            <w:hideMark/>
          </w:tcPr>
          <w:p w14:paraId="12D3BA90" w14:textId="77777777" w:rsidR="00AC22B3" w:rsidRPr="0019356D" w:rsidRDefault="00AC22B3" w:rsidP="001B3BD4">
            <w:pPr>
              <w:widowControl/>
              <w:jc w:val="right"/>
              <w:rPr>
                <w:rFonts w:cs="Arial"/>
                <w:b/>
                <w:bCs/>
                <w:color w:val="000000"/>
                <w:sz w:val="16"/>
                <w:szCs w:val="16"/>
                <w:lang w:eastAsia="en-GB" w:bidi="ar-SA"/>
              </w:rPr>
            </w:pPr>
            <w:r w:rsidRPr="0019356D">
              <w:rPr>
                <w:rFonts w:cs="Arial"/>
                <w:b/>
                <w:bCs/>
                <w:color w:val="000000"/>
                <w:sz w:val="16"/>
                <w:szCs w:val="16"/>
                <w:lang w:eastAsia="en-GB" w:bidi="ar-SA"/>
              </w:rPr>
              <w:t>11</w:t>
            </w:r>
          </w:p>
        </w:tc>
        <w:tc>
          <w:tcPr>
            <w:tcW w:w="752" w:type="dxa"/>
            <w:shd w:val="clear" w:color="auto" w:fill="auto"/>
            <w:noWrap/>
            <w:vAlign w:val="bottom"/>
            <w:hideMark/>
          </w:tcPr>
          <w:p w14:paraId="5FA8D1D8" w14:textId="77777777" w:rsidR="00AC22B3" w:rsidRPr="0019356D" w:rsidRDefault="00AC22B3" w:rsidP="001B3BD4">
            <w:pPr>
              <w:widowControl/>
              <w:jc w:val="right"/>
              <w:rPr>
                <w:rFonts w:cs="Arial"/>
                <w:b/>
                <w:bCs/>
                <w:color w:val="000000"/>
                <w:sz w:val="16"/>
                <w:szCs w:val="16"/>
                <w:lang w:eastAsia="en-GB" w:bidi="ar-SA"/>
              </w:rPr>
            </w:pPr>
            <w:r w:rsidRPr="0019356D">
              <w:rPr>
                <w:rFonts w:cs="Arial"/>
                <w:b/>
                <w:bCs/>
                <w:color w:val="000000"/>
                <w:sz w:val="16"/>
                <w:szCs w:val="16"/>
                <w:lang w:eastAsia="en-GB" w:bidi="ar-SA"/>
              </w:rPr>
              <w:t>11</w:t>
            </w:r>
          </w:p>
        </w:tc>
        <w:tc>
          <w:tcPr>
            <w:tcW w:w="750" w:type="dxa"/>
            <w:shd w:val="clear" w:color="auto" w:fill="auto"/>
            <w:noWrap/>
            <w:vAlign w:val="bottom"/>
            <w:hideMark/>
          </w:tcPr>
          <w:p w14:paraId="6A8739C3" w14:textId="77777777" w:rsidR="00AC22B3" w:rsidRPr="0019356D" w:rsidRDefault="00AC22B3" w:rsidP="001B3BD4">
            <w:pPr>
              <w:widowControl/>
              <w:jc w:val="right"/>
              <w:rPr>
                <w:rFonts w:cs="Arial"/>
                <w:b/>
                <w:bCs/>
                <w:color w:val="000000"/>
                <w:sz w:val="16"/>
                <w:szCs w:val="16"/>
                <w:lang w:eastAsia="en-GB" w:bidi="ar-SA"/>
              </w:rPr>
            </w:pPr>
            <w:r w:rsidRPr="0019356D">
              <w:rPr>
                <w:rFonts w:cs="Arial"/>
                <w:b/>
                <w:bCs/>
                <w:color w:val="000000"/>
                <w:sz w:val="16"/>
                <w:szCs w:val="16"/>
                <w:lang w:eastAsia="en-GB" w:bidi="ar-SA"/>
              </w:rPr>
              <w:t>11</w:t>
            </w:r>
          </w:p>
        </w:tc>
        <w:tc>
          <w:tcPr>
            <w:tcW w:w="850" w:type="dxa"/>
            <w:shd w:val="clear" w:color="auto" w:fill="auto"/>
            <w:noWrap/>
            <w:vAlign w:val="bottom"/>
            <w:hideMark/>
          </w:tcPr>
          <w:p w14:paraId="60BFD610" w14:textId="77777777" w:rsidR="00AC22B3" w:rsidRPr="0019356D" w:rsidRDefault="00AC22B3" w:rsidP="001B3BD4">
            <w:pPr>
              <w:widowControl/>
              <w:jc w:val="right"/>
              <w:rPr>
                <w:rFonts w:cs="Arial"/>
                <w:b/>
                <w:bCs/>
                <w:color w:val="000000"/>
                <w:sz w:val="16"/>
                <w:szCs w:val="16"/>
                <w:lang w:eastAsia="en-GB" w:bidi="ar-SA"/>
              </w:rPr>
            </w:pPr>
            <w:r w:rsidRPr="0019356D">
              <w:rPr>
                <w:rFonts w:cs="Arial"/>
                <w:b/>
                <w:bCs/>
                <w:color w:val="000000"/>
                <w:sz w:val="16"/>
                <w:szCs w:val="16"/>
                <w:lang w:eastAsia="en-GB" w:bidi="ar-SA"/>
              </w:rPr>
              <w:t>11</w:t>
            </w:r>
          </w:p>
        </w:tc>
        <w:tc>
          <w:tcPr>
            <w:tcW w:w="1087" w:type="dxa"/>
            <w:shd w:val="clear" w:color="auto" w:fill="auto"/>
            <w:noWrap/>
            <w:vAlign w:val="bottom"/>
            <w:hideMark/>
          </w:tcPr>
          <w:p w14:paraId="3A84170E" w14:textId="77777777" w:rsidR="00AC22B3" w:rsidRPr="0019356D" w:rsidRDefault="00AC22B3" w:rsidP="001B3BD4">
            <w:pPr>
              <w:widowControl/>
              <w:jc w:val="right"/>
              <w:rPr>
                <w:rFonts w:cs="Arial"/>
                <w:b/>
                <w:bCs/>
                <w:color w:val="000000"/>
                <w:sz w:val="16"/>
                <w:szCs w:val="16"/>
                <w:lang w:eastAsia="en-GB" w:bidi="ar-SA"/>
              </w:rPr>
            </w:pPr>
            <w:r w:rsidRPr="0019356D">
              <w:rPr>
                <w:rFonts w:cs="Arial"/>
                <w:b/>
                <w:bCs/>
                <w:color w:val="000000"/>
                <w:sz w:val="16"/>
                <w:szCs w:val="16"/>
                <w:lang w:eastAsia="en-GB" w:bidi="ar-SA"/>
              </w:rPr>
              <w:t>11</w:t>
            </w:r>
          </w:p>
        </w:tc>
      </w:tr>
      <w:tr w:rsidR="00AC22B3" w:rsidRPr="0019356D" w14:paraId="1E137034" w14:textId="77777777" w:rsidTr="00C76348">
        <w:trPr>
          <w:trHeight w:val="255"/>
        </w:trPr>
        <w:tc>
          <w:tcPr>
            <w:tcW w:w="2268" w:type="dxa"/>
            <w:shd w:val="clear" w:color="auto" w:fill="auto"/>
            <w:noWrap/>
            <w:vAlign w:val="bottom"/>
            <w:hideMark/>
          </w:tcPr>
          <w:p w14:paraId="439238EE" w14:textId="76705966" w:rsidR="00AC22B3" w:rsidRPr="0019356D" w:rsidRDefault="00AC22B3" w:rsidP="001B3BD4">
            <w:pPr>
              <w:widowControl/>
              <w:ind w:firstLineChars="100" w:firstLine="160"/>
              <w:rPr>
                <w:rFonts w:cs="Arial"/>
                <w:color w:val="000000"/>
                <w:sz w:val="16"/>
                <w:szCs w:val="16"/>
                <w:lang w:eastAsia="en-GB" w:bidi="ar-SA"/>
              </w:rPr>
            </w:pPr>
            <w:r w:rsidRPr="0019356D">
              <w:rPr>
                <w:rFonts w:cs="Arial"/>
                <w:color w:val="000000"/>
                <w:sz w:val="16"/>
                <w:szCs w:val="16"/>
                <w:lang w:eastAsia="en-GB" w:bidi="ar-SA"/>
              </w:rPr>
              <w:t>Proportion with usual intake less than EAR</w:t>
            </w:r>
            <w:r>
              <w:rPr>
                <w:rFonts w:cs="Arial"/>
                <w:color w:val="000000"/>
                <w:sz w:val="16"/>
                <w:szCs w:val="16"/>
                <w:lang w:eastAsia="en-GB" w:bidi="ar-SA"/>
              </w:rPr>
              <w:t xml:space="preserve"> (%)</w:t>
            </w:r>
          </w:p>
        </w:tc>
        <w:tc>
          <w:tcPr>
            <w:tcW w:w="704" w:type="dxa"/>
            <w:shd w:val="clear" w:color="auto" w:fill="auto"/>
            <w:noWrap/>
            <w:vAlign w:val="bottom"/>
            <w:hideMark/>
          </w:tcPr>
          <w:p w14:paraId="7881C720"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w:t>
            </w:r>
          </w:p>
        </w:tc>
        <w:tc>
          <w:tcPr>
            <w:tcW w:w="796" w:type="dxa"/>
            <w:shd w:val="clear" w:color="auto" w:fill="auto"/>
            <w:noWrap/>
            <w:vAlign w:val="bottom"/>
            <w:hideMark/>
          </w:tcPr>
          <w:p w14:paraId="25C105E5"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w:t>
            </w:r>
          </w:p>
        </w:tc>
        <w:tc>
          <w:tcPr>
            <w:tcW w:w="601" w:type="dxa"/>
            <w:shd w:val="clear" w:color="auto" w:fill="auto"/>
            <w:noWrap/>
            <w:vAlign w:val="bottom"/>
            <w:hideMark/>
          </w:tcPr>
          <w:p w14:paraId="790BF1FD"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w:t>
            </w:r>
          </w:p>
        </w:tc>
        <w:tc>
          <w:tcPr>
            <w:tcW w:w="734" w:type="dxa"/>
            <w:shd w:val="clear" w:color="auto" w:fill="auto"/>
            <w:noWrap/>
            <w:vAlign w:val="bottom"/>
            <w:hideMark/>
          </w:tcPr>
          <w:p w14:paraId="5A4F61E8"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w:t>
            </w:r>
          </w:p>
        </w:tc>
        <w:tc>
          <w:tcPr>
            <w:tcW w:w="752" w:type="dxa"/>
            <w:shd w:val="clear" w:color="auto" w:fill="auto"/>
            <w:noWrap/>
            <w:vAlign w:val="bottom"/>
            <w:hideMark/>
          </w:tcPr>
          <w:p w14:paraId="326BE9CF"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w:t>
            </w:r>
          </w:p>
        </w:tc>
        <w:tc>
          <w:tcPr>
            <w:tcW w:w="750" w:type="dxa"/>
            <w:shd w:val="clear" w:color="auto" w:fill="auto"/>
            <w:noWrap/>
            <w:vAlign w:val="bottom"/>
            <w:hideMark/>
          </w:tcPr>
          <w:p w14:paraId="70F56C95"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w:t>
            </w:r>
          </w:p>
        </w:tc>
        <w:tc>
          <w:tcPr>
            <w:tcW w:w="850" w:type="dxa"/>
            <w:shd w:val="clear" w:color="auto" w:fill="auto"/>
            <w:noWrap/>
            <w:vAlign w:val="bottom"/>
            <w:hideMark/>
          </w:tcPr>
          <w:p w14:paraId="12538DC9"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w:t>
            </w:r>
          </w:p>
        </w:tc>
        <w:tc>
          <w:tcPr>
            <w:tcW w:w="1087" w:type="dxa"/>
            <w:shd w:val="clear" w:color="auto" w:fill="auto"/>
            <w:noWrap/>
            <w:vAlign w:val="bottom"/>
            <w:hideMark/>
          </w:tcPr>
          <w:p w14:paraId="2A732306" w14:textId="77777777" w:rsidR="00AC22B3" w:rsidRPr="0019356D" w:rsidRDefault="00AC22B3" w:rsidP="001B3BD4">
            <w:pPr>
              <w:widowControl/>
              <w:jc w:val="right"/>
              <w:rPr>
                <w:rFonts w:cs="Arial"/>
                <w:color w:val="000000"/>
                <w:sz w:val="16"/>
                <w:szCs w:val="16"/>
                <w:lang w:eastAsia="en-GB" w:bidi="ar-SA"/>
              </w:rPr>
            </w:pPr>
            <w:r w:rsidRPr="0019356D">
              <w:rPr>
                <w:rFonts w:cs="Arial"/>
                <w:color w:val="000000"/>
                <w:sz w:val="16"/>
                <w:szCs w:val="16"/>
                <w:lang w:eastAsia="en-GB" w:bidi="ar-SA"/>
              </w:rPr>
              <w:t>—</w:t>
            </w:r>
          </w:p>
        </w:tc>
      </w:tr>
    </w:tbl>
    <w:p w14:paraId="0AB846B5" w14:textId="369E3BFE" w:rsidR="00FE6FC6" w:rsidRPr="00FE6FC6" w:rsidRDefault="00A9372F" w:rsidP="00A9372F">
      <w:pPr>
        <w:widowControl/>
        <w:tabs>
          <w:tab w:val="left" w:pos="4569"/>
          <w:tab w:val="left" w:pos="6243"/>
        </w:tabs>
        <w:ind w:left="108"/>
        <w:rPr>
          <w:rFonts w:cs="Arial"/>
          <w:color w:val="000000"/>
          <w:sz w:val="16"/>
          <w:szCs w:val="16"/>
          <w:lang w:eastAsia="en-GB" w:bidi="ar-SA"/>
        </w:rPr>
      </w:pPr>
      <w:r w:rsidRPr="005E0D48">
        <w:rPr>
          <w:rFonts w:cs="Arial"/>
          <w:color w:val="000000"/>
          <w:sz w:val="16"/>
          <w:szCs w:val="16"/>
          <w:lang w:eastAsia="en-GB" w:bidi="ar-SA"/>
        </w:rPr>
        <w:t>Source</w:t>
      </w:r>
      <w:r w:rsidRPr="0019356D">
        <w:rPr>
          <w:rFonts w:cs="Arial"/>
          <w:color w:val="000000"/>
          <w:sz w:val="16"/>
          <w:szCs w:val="16"/>
          <w:lang w:eastAsia="en-GB" w:bidi="ar-SA"/>
        </w:rPr>
        <w:t xml:space="preserve">: </w:t>
      </w:r>
      <w:r w:rsidR="00FE6FC6" w:rsidRPr="00FE6FC6">
        <w:rPr>
          <w:rFonts w:cs="Arial"/>
          <w:color w:val="000000"/>
          <w:sz w:val="16"/>
          <w:szCs w:val="16"/>
          <w:lang w:eastAsia="en-GB" w:bidi="ar-SA"/>
        </w:rPr>
        <w:t xml:space="preserve">ABS </w:t>
      </w:r>
      <w:r w:rsidR="00FE6FC6">
        <w:rPr>
          <w:rFonts w:cs="Arial"/>
          <w:color w:val="000000"/>
          <w:sz w:val="16"/>
          <w:szCs w:val="16"/>
          <w:lang w:eastAsia="en-GB" w:bidi="ar-SA"/>
        </w:rPr>
        <w:t>(</w:t>
      </w:r>
      <w:r w:rsidR="00FE6FC6" w:rsidRPr="00FE6FC6">
        <w:rPr>
          <w:rFonts w:cs="Arial"/>
          <w:color w:val="000000"/>
          <w:sz w:val="16"/>
          <w:szCs w:val="16"/>
          <w:lang w:eastAsia="en-GB" w:bidi="ar-SA"/>
        </w:rPr>
        <w:t>2014a</w:t>
      </w:r>
      <w:r w:rsidR="00FE6FC6">
        <w:rPr>
          <w:rFonts w:cs="Arial"/>
          <w:color w:val="000000"/>
          <w:sz w:val="16"/>
          <w:szCs w:val="16"/>
          <w:lang w:eastAsia="en-GB" w:bidi="ar-SA"/>
        </w:rPr>
        <w:t>)</w:t>
      </w:r>
      <w:r w:rsidR="00FE6FC6" w:rsidRPr="00FE6FC6">
        <w:rPr>
          <w:rFonts w:cs="Arial"/>
          <w:color w:val="000000"/>
          <w:sz w:val="16"/>
          <w:szCs w:val="16"/>
          <w:lang w:eastAsia="en-GB" w:bidi="ar-SA"/>
        </w:rPr>
        <w:t xml:space="preserve"> and </w:t>
      </w:r>
      <w:r w:rsidR="00FE6FC6">
        <w:rPr>
          <w:rFonts w:cs="Arial"/>
          <w:color w:val="000000"/>
          <w:sz w:val="16"/>
          <w:szCs w:val="16"/>
          <w:lang w:eastAsia="en-GB" w:bidi="ar-SA"/>
        </w:rPr>
        <w:t>(</w:t>
      </w:r>
      <w:r w:rsidR="00FE6FC6" w:rsidRPr="00FE6FC6">
        <w:rPr>
          <w:rFonts w:cs="Arial"/>
          <w:color w:val="000000"/>
          <w:sz w:val="16"/>
          <w:szCs w:val="16"/>
          <w:lang w:eastAsia="en-GB" w:bidi="ar-SA"/>
        </w:rPr>
        <w:t>2014b</w:t>
      </w:r>
      <w:r w:rsidR="00FE6FC6">
        <w:rPr>
          <w:rFonts w:cs="Arial"/>
          <w:color w:val="000000"/>
          <w:sz w:val="16"/>
          <w:szCs w:val="16"/>
          <w:lang w:eastAsia="en-GB" w:bidi="ar-SA"/>
        </w:rPr>
        <w:t>)</w:t>
      </w:r>
      <w:r w:rsidR="00D81787">
        <w:rPr>
          <w:rFonts w:cs="Arial"/>
          <w:color w:val="000000"/>
          <w:sz w:val="16"/>
          <w:szCs w:val="16"/>
          <w:lang w:eastAsia="en-GB" w:bidi="ar-SA"/>
        </w:rPr>
        <w:t>.</w:t>
      </w:r>
    </w:p>
    <w:p w14:paraId="3FDFC7F5" w14:textId="476BB980" w:rsidR="00A9372F" w:rsidRPr="0019356D" w:rsidRDefault="00A9372F" w:rsidP="00A9372F">
      <w:pPr>
        <w:widowControl/>
        <w:tabs>
          <w:tab w:val="left" w:pos="4569"/>
          <w:tab w:val="left" w:pos="6243"/>
        </w:tabs>
        <w:ind w:left="108"/>
        <w:rPr>
          <w:rFonts w:ascii="Times New Roman" w:hAnsi="Times New Roman"/>
          <w:sz w:val="20"/>
          <w:szCs w:val="20"/>
          <w:lang w:eastAsia="en-GB" w:bidi="ar-SA"/>
        </w:rPr>
      </w:pPr>
      <w:r>
        <w:rPr>
          <w:rFonts w:ascii="Times New Roman" w:hAnsi="Times New Roman"/>
          <w:sz w:val="20"/>
          <w:szCs w:val="20"/>
          <w:lang w:eastAsia="en-GB" w:bidi="ar-SA"/>
        </w:rPr>
        <w:t xml:space="preserve"> </w:t>
      </w:r>
      <w:r w:rsidRPr="0019356D">
        <w:rPr>
          <w:rFonts w:cs="Arial"/>
          <w:color w:val="000000"/>
          <w:sz w:val="16"/>
          <w:szCs w:val="16"/>
          <w:lang w:eastAsia="en-GB" w:bidi="ar-SA"/>
        </w:rPr>
        <w:t>— nil or rounded to zero (including null cells)</w:t>
      </w:r>
      <w:r w:rsidR="00AE20A9">
        <w:rPr>
          <w:rFonts w:cs="Arial"/>
          <w:color w:val="000000"/>
          <w:sz w:val="16"/>
          <w:szCs w:val="16"/>
          <w:lang w:eastAsia="en-GB" w:bidi="ar-SA"/>
        </w:rPr>
        <w:t>.</w:t>
      </w:r>
    </w:p>
    <w:p w14:paraId="22E0E541" w14:textId="77777777" w:rsidR="00E44ADF" w:rsidRDefault="00E44ADF">
      <w:pPr>
        <w:widowControl/>
        <w:rPr>
          <w:rFonts w:eastAsiaTheme="minorHAnsi" w:cstheme="minorBidi"/>
          <w:b/>
          <w:sz w:val="20"/>
          <w:szCs w:val="20"/>
          <w:lang w:bidi="ar-SA"/>
        </w:rPr>
      </w:pPr>
      <w:r>
        <w:br w:type="page"/>
      </w:r>
    </w:p>
    <w:p w14:paraId="03AC4FE9" w14:textId="1547859F" w:rsidR="00DC1455" w:rsidRDefault="00DC1455" w:rsidP="00DC1455">
      <w:pPr>
        <w:pStyle w:val="FSTableColumnRowheading"/>
      </w:pPr>
      <w:r w:rsidRPr="00C10032">
        <w:rPr>
          <w:i/>
        </w:rPr>
        <w:lastRenderedPageBreak/>
        <w:t>T</w:t>
      </w:r>
      <w:r w:rsidR="00C10032" w:rsidRPr="00C10032">
        <w:rPr>
          <w:i/>
        </w:rPr>
        <w:t>able</w:t>
      </w:r>
      <w:r w:rsidRPr="00C10032">
        <w:rPr>
          <w:i/>
        </w:rPr>
        <w:t xml:space="preserve"> A1.2</w:t>
      </w:r>
      <w:r w:rsidR="00C10032">
        <w:rPr>
          <w:i/>
        </w:rPr>
        <w:t>.</w:t>
      </w:r>
      <w:r w:rsidRPr="00A9372F">
        <w:t xml:space="preserve">  Usual daily intake</w:t>
      </w:r>
      <w:r w:rsidR="007D661A" w:rsidRPr="008E1F35">
        <w:rPr>
          <w:rFonts w:cs="Arial"/>
          <w:vertAlign w:val="superscript"/>
        </w:rPr>
        <w:t>1</w:t>
      </w:r>
      <w:r w:rsidRPr="00A9372F">
        <w:t xml:space="preserve"> of niacin equivalents from foods</w:t>
      </w:r>
      <w:r>
        <w:t xml:space="preserve"> New Zealanders aged 5 to 14 years </w:t>
      </w:r>
      <w:r w:rsidR="007D661A">
        <w:t>(mg/day)</w:t>
      </w:r>
    </w:p>
    <w:tbl>
      <w:tblPr>
        <w:tblStyle w:val="TableGrid"/>
        <w:tblW w:w="0" w:type="auto"/>
        <w:tblLayout w:type="fixed"/>
        <w:tblLook w:val="04A0" w:firstRow="1" w:lastRow="0" w:firstColumn="1" w:lastColumn="0" w:noHBand="0" w:noVBand="1"/>
        <w:tblCaption w:val="Usual daily intake of niacin equivalents from foods New Zealanders aged 5 to 14 years "/>
        <w:tblDescription w:val="Table 1.2 has 7 columns. The first column is the total population by sex, males and females of New Zealand children aged 5 - 14 years. The second column is the age groups in years. The third column is  the mean (mg) usual daily intake of niacin equivalents,  the fourth column is the standard error of the mean, SEM. The fifth and sixth columns are the respective 10th percentile and 50th percentile of usual daily intake of niacin equivalents from foods of New Zealanders aged  5 - 14 years. While the last column is the 90th percentile of usual daily intake of niacin equivalents from foods of New Zealanders aged  5 - 14 years."/>
      </w:tblPr>
      <w:tblGrid>
        <w:gridCol w:w="1271"/>
        <w:gridCol w:w="1276"/>
        <w:gridCol w:w="995"/>
        <w:gridCol w:w="1111"/>
        <w:gridCol w:w="1108"/>
        <w:gridCol w:w="1108"/>
        <w:gridCol w:w="1105"/>
      </w:tblGrid>
      <w:tr w:rsidR="009337DB" w14:paraId="2E4F5F58" w14:textId="77777777" w:rsidTr="002A2011">
        <w:tc>
          <w:tcPr>
            <w:tcW w:w="2547" w:type="dxa"/>
            <w:gridSpan w:val="2"/>
          </w:tcPr>
          <w:p w14:paraId="1696C271" w14:textId="77777777" w:rsidR="009337DB" w:rsidRPr="008E1F35" w:rsidRDefault="009337DB" w:rsidP="009337DB">
            <w:pPr>
              <w:rPr>
                <w:rFonts w:cs="Arial"/>
                <w:sz w:val="20"/>
                <w:szCs w:val="20"/>
              </w:rPr>
            </w:pPr>
          </w:p>
        </w:tc>
        <w:tc>
          <w:tcPr>
            <w:tcW w:w="995" w:type="dxa"/>
          </w:tcPr>
          <w:p w14:paraId="30AE1509" w14:textId="77777777" w:rsidR="009337DB" w:rsidRPr="002A2011" w:rsidRDefault="009337DB" w:rsidP="002A2011">
            <w:pPr>
              <w:jc w:val="right"/>
              <w:rPr>
                <w:rFonts w:cs="Arial"/>
                <w:b/>
                <w:sz w:val="20"/>
                <w:szCs w:val="20"/>
              </w:rPr>
            </w:pPr>
            <w:r w:rsidRPr="002A2011">
              <w:rPr>
                <w:rFonts w:cs="Arial"/>
                <w:b/>
                <w:sz w:val="20"/>
                <w:szCs w:val="20"/>
              </w:rPr>
              <w:t>Mean</w:t>
            </w:r>
          </w:p>
        </w:tc>
        <w:tc>
          <w:tcPr>
            <w:tcW w:w="1111" w:type="dxa"/>
          </w:tcPr>
          <w:p w14:paraId="2169C5A6" w14:textId="77777777" w:rsidR="009337DB" w:rsidRPr="002A2011" w:rsidRDefault="009337DB" w:rsidP="002A2011">
            <w:pPr>
              <w:jc w:val="right"/>
              <w:rPr>
                <w:rFonts w:cs="Arial"/>
                <w:b/>
                <w:sz w:val="20"/>
                <w:szCs w:val="20"/>
              </w:rPr>
            </w:pPr>
            <w:r w:rsidRPr="002A2011">
              <w:rPr>
                <w:rFonts w:cs="Arial"/>
                <w:b/>
                <w:sz w:val="20"/>
                <w:szCs w:val="20"/>
              </w:rPr>
              <w:t>SEM</w:t>
            </w:r>
          </w:p>
        </w:tc>
        <w:tc>
          <w:tcPr>
            <w:tcW w:w="1108" w:type="dxa"/>
          </w:tcPr>
          <w:p w14:paraId="71D040CD" w14:textId="77777777" w:rsidR="009337DB" w:rsidRPr="002A2011" w:rsidRDefault="009337DB" w:rsidP="002A2011">
            <w:pPr>
              <w:jc w:val="right"/>
              <w:rPr>
                <w:rFonts w:cs="Arial"/>
                <w:b/>
                <w:sz w:val="20"/>
                <w:szCs w:val="20"/>
              </w:rPr>
            </w:pPr>
            <w:r w:rsidRPr="002A2011">
              <w:rPr>
                <w:rFonts w:cs="Arial"/>
                <w:b/>
                <w:sz w:val="20"/>
                <w:szCs w:val="20"/>
              </w:rPr>
              <w:t>10th*</w:t>
            </w:r>
          </w:p>
        </w:tc>
        <w:tc>
          <w:tcPr>
            <w:tcW w:w="1108" w:type="dxa"/>
          </w:tcPr>
          <w:p w14:paraId="5D52EDF5" w14:textId="77777777" w:rsidR="009337DB" w:rsidRPr="002A2011" w:rsidRDefault="009337DB" w:rsidP="002A2011">
            <w:pPr>
              <w:jc w:val="right"/>
              <w:rPr>
                <w:rFonts w:cs="Arial"/>
                <w:b/>
                <w:sz w:val="20"/>
                <w:szCs w:val="20"/>
              </w:rPr>
            </w:pPr>
            <w:r w:rsidRPr="002A2011">
              <w:rPr>
                <w:rFonts w:cs="Arial"/>
                <w:b/>
                <w:sz w:val="20"/>
                <w:szCs w:val="20"/>
              </w:rPr>
              <w:t>50th*</w:t>
            </w:r>
          </w:p>
        </w:tc>
        <w:tc>
          <w:tcPr>
            <w:tcW w:w="1105" w:type="dxa"/>
          </w:tcPr>
          <w:p w14:paraId="517FC903" w14:textId="77777777" w:rsidR="009337DB" w:rsidRPr="002A2011" w:rsidRDefault="009337DB" w:rsidP="002A2011">
            <w:pPr>
              <w:jc w:val="right"/>
              <w:rPr>
                <w:rFonts w:cs="Arial"/>
                <w:b/>
                <w:sz w:val="20"/>
                <w:szCs w:val="20"/>
              </w:rPr>
            </w:pPr>
            <w:r w:rsidRPr="002A2011">
              <w:rPr>
                <w:rFonts w:cs="Arial"/>
                <w:b/>
                <w:sz w:val="20"/>
                <w:szCs w:val="20"/>
              </w:rPr>
              <w:t>90th*</w:t>
            </w:r>
          </w:p>
        </w:tc>
      </w:tr>
      <w:tr w:rsidR="009337DB" w14:paraId="31B04F8D" w14:textId="77777777" w:rsidTr="009337DB">
        <w:tc>
          <w:tcPr>
            <w:tcW w:w="2547" w:type="dxa"/>
            <w:gridSpan w:val="2"/>
          </w:tcPr>
          <w:p w14:paraId="360971FC" w14:textId="52B8AFFB" w:rsidR="009337DB" w:rsidRPr="008E1F35" w:rsidRDefault="009337DB" w:rsidP="009337DB">
            <w:pPr>
              <w:rPr>
                <w:rFonts w:cs="Arial"/>
                <w:sz w:val="20"/>
                <w:szCs w:val="20"/>
              </w:rPr>
            </w:pPr>
            <w:r w:rsidRPr="008E1F35">
              <w:rPr>
                <w:rFonts w:cs="Arial"/>
                <w:sz w:val="20"/>
                <w:szCs w:val="20"/>
              </w:rPr>
              <w:t xml:space="preserve"> </w:t>
            </w:r>
            <w:r w:rsidR="00C76348">
              <w:rPr>
                <w:rFonts w:cs="Arial"/>
                <w:sz w:val="20"/>
                <w:szCs w:val="20"/>
              </w:rPr>
              <w:t>Sex and age group (</w:t>
            </w:r>
            <w:r w:rsidRPr="008E1F35">
              <w:rPr>
                <w:rFonts w:cs="Arial"/>
                <w:sz w:val="20"/>
                <w:szCs w:val="20"/>
              </w:rPr>
              <w:t>years)</w:t>
            </w:r>
          </w:p>
        </w:tc>
        <w:tc>
          <w:tcPr>
            <w:tcW w:w="995" w:type="dxa"/>
          </w:tcPr>
          <w:p w14:paraId="2366A12C" w14:textId="77777777" w:rsidR="009337DB" w:rsidRPr="008E1F35" w:rsidRDefault="009337DB" w:rsidP="002A2011">
            <w:pPr>
              <w:jc w:val="right"/>
              <w:rPr>
                <w:rFonts w:cs="Arial"/>
                <w:sz w:val="20"/>
                <w:szCs w:val="20"/>
              </w:rPr>
            </w:pPr>
            <w:r w:rsidRPr="008E1F35">
              <w:rPr>
                <w:rFonts w:cs="Arial"/>
                <w:sz w:val="20"/>
                <w:szCs w:val="20"/>
              </w:rPr>
              <w:t>29.3</w:t>
            </w:r>
          </w:p>
        </w:tc>
        <w:tc>
          <w:tcPr>
            <w:tcW w:w="1111" w:type="dxa"/>
          </w:tcPr>
          <w:p w14:paraId="3341D98B" w14:textId="77777777" w:rsidR="009337DB" w:rsidRPr="008E1F35" w:rsidRDefault="009337DB">
            <w:pPr>
              <w:jc w:val="right"/>
              <w:rPr>
                <w:rFonts w:cs="Arial"/>
                <w:sz w:val="20"/>
                <w:szCs w:val="20"/>
              </w:rPr>
            </w:pPr>
            <w:r w:rsidRPr="008E1F35">
              <w:rPr>
                <w:rFonts w:cs="Arial"/>
                <w:sz w:val="20"/>
                <w:szCs w:val="20"/>
              </w:rPr>
              <w:t>0.43</w:t>
            </w:r>
          </w:p>
        </w:tc>
        <w:tc>
          <w:tcPr>
            <w:tcW w:w="1108" w:type="dxa"/>
          </w:tcPr>
          <w:p w14:paraId="00438B0F" w14:textId="77777777" w:rsidR="009337DB" w:rsidRPr="008E1F35" w:rsidRDefault="009337DB">
            <w:pPr>
              <w:jc w:val="right"/>
              <w:rPr>
                <w:rFonts w:cs="Arial"/>
                <w:sz w:val="20"/>
                <w:szCs w:val="20"/>
              </w:rPr>
            </w:pPr>
            <w:r w:rsidRPr="008E1F35">
              <w:rPr>
                <w:rFonts w:cs="Arial"/>
                <w:sz w:val="20"/>
                <w:szCs w:val="20"/>
              </w:rPr>
              <w:t>19.2</w:t>
            </w:r>
          </w:p>
        </w:tc>
        <w:tc>
          <w:tcPr>
            <w:tcW w:w="1108" w:type="dxa"/>
          </w:tcPr>
          <w:p w14:paraId="3A3A5E98" w14:textId="77777777" w:rsidR="009337DB" w:rsidRPr="008E1F35" w:rsidRDefault="009337DB">
            <w:pPr>
              <w:jc w:val="right"/>
              <w:rPr>
                <w:rFonts w:cs="Arial"/>
                <w:sz w:val="20"/>
                <w:szCs w:val="20"/>
              </w:rPr>
            </w:pPr>
            <w:r w:rsidRPr="008E1F35">
              <w:rPr>
                <w:rFonts w:cs="Arial"/>
                <w:sz w:val="20"/>
                <w:szCs w:val="20"/>
              </w:rPr>
              <w:t>27.8</w:t>
            </w:r>
          </w:p>
        </w:tc>
        <w:tc>
          <w:tcPr>
            <w:tcW w:w="1105" w:type="dxa"/>
          </w:tcPr>
          <w:p w14:paraId="6C4BC422" w14:textId="77777777" w:rsidR="009337DB" w:rsidRPr="008E1F35" w:rsidRDefault="009337DB">
            <w:pPr>
              <w:jc w:val="right"/>
              <w:rPr>
                <w:rFonts w:cs="Arial"/>
                <w:sz w:val="20"/>
                <w:szCs w:val="20"/>
              </w:rPr>
            </w:pPr>
            <w:r w:rsidRPr="008E1F35">
              <w:rPr>
                <w:rFonts w:cs="Arial"/>
                <w:sz w:val="20"/>
                <w:szCs w:val="20"/>
              </w:rPr>
              <w:t>40.8</w:t>
            </w:r>
          </w:p>
        </w:tc>
      </w:tr>
      <w:tr w:rsidR="009337DB" w14:paraId="57744E90" w14:textId="77777777" w:rsidTr="009337DB">
        <w:tc>
          <w:tcPr>
            <w:tcW w:w="1271" w:type="dxa"/>
          </w:tcPr>
          <w:p w14:paraId="53E8B029" w14:textId="77777777" w:rsidR="009337DB" w:rsidRPr="008E1F35" w:rsidRDefault="009337DB" w:rsidP="009337DB">
            <w:pPr>
              <w:rPr>
                <w:rFonts w:cs="Arial"/>
                <w:sz w:val="20"/>
                <w:szCs w:val="20"/>
              </w:rPr>
            </w:pPr>
            <w:r w:rsidRPr="008E1F35">
              <w:rPr>
                <w:rFonts w:cs="Arial"/>
                <w:sz w:val="20"/>
                <w:szCs w:val="20"/>
              </w:rPr>
              <w:t>Males</w:t>
            </w:r>
          </w:p>
        </w:tc>
        <w:tc>
          <w:tcPr>
            <w:tcW w:w="1276" w:type="dxa"/>
          </w:tcPr>
          <w:p w14:paraId="20BAE9DE" w14:textId="77777777" w:rsidR="009337DB" w:rsidRPr="008E1F35" w:rsidRDefault="009337DB" w:rsidP="009337DB">
            <w:pPr>
              <w:rPr>
                <w:rFonts w:cs="Arial"/>
                <w:sz w:val="20"/>
                <w:szCs w:val="20"/>
              </w:rPr>
            </w:pPr>
            <w:r w:rsidRPr="008E1F35">
              <w:rPr>
                <w:rFonts w:cs="Arial"/>
                <w:sz w:val="20"/>
                <w:szCs w:val="20"/>
              </w:rPr>
              <w:t>5 - 6</w:t>
            </w:r>
          </w:p>
        </w:tc>
        <w:tc>
          <w:tcPr>
            <w:tcW w:w="995" w:type="dxa"/>
          </w:tcPr>
          <w:p w14:paraId="3DAA9C60" w14:textId="77777777" w:rsidR="009337DB" w:rsidRPr="008E1F35" w:rsidRDefault="009337DB" w:rsidP="002A2011">
            <w:pPr>
              <w:jc w:val="right"/>
              <w:rPr>
                <w:rFonts w:cs="Arial"/>
                <w:sz w:val="20"/>
                <w:szCs w:val="20"/>
              </w:rPr>
            </w:pPr>
            <w:r w:rsidRPr="008E1F35">
              <w:rPr>
                <w:rFonts w:cs="Arial"/>
                <w:sz w:val="20"/>
                <w:szCs w:val="20"/>
              </w:rPr>
              <w:t>26.1</w:t>
            </w:r>
          </w:p>
        </w:tc>
        <w:tc>
          <w:tcPr>
            <w:tcW w:w="1111" w:type="dxa"/>
          </w:tcPr>
          <w:p w14:paraId="553DE797" w14:textId="77777777" w:rsidR="009337DB" w:rsidRPr="008E1F35" w:rsidRDefault="009337DB">
            <w:pPr>
              <w:jc w:val="right"/>
              <w:rPr>
                <w:rFonts w:cs="Arial"/>
                <w:sz w:val="20"/>
                <w:szCs w:val="20"/>
              </w:rPr>
            </w:pPr>
            <w:r w:rsidRPr="008E1F35">
              <w:rPr>
                <w:rFonts w:cs="Arial"/>
                <w:sz w:val="20"/>
                <w:szCs w:val="20"/>
              </w:rPr>
              <w:t>0.67</w:t>
            </w:r>
          </w:p>
        </w:tc>
        <w:tc>
          <w:tcPr>
            <w:tcW w:w="1108" w:type="dxa"/>
          </w:tcPr>
          <w:p w14:paraId="42EA6818" w14:textId="77777777" w:rsidR="009337DB" w:rsidRPr="008E1F35" w:rsidRDefault="009337DB">
            <w:pPr>
              <w:jc w:val="right"/>
              <w:rPr>
                <w:rFonts w:cs="Arial"/>
                <w:sz w:val="20"/>
                <w:szCs w:val="20"/>
              </w:rPr>
            </w:pPr>
            <w:r w:rsidRPr="008E1F35">
              <w:rPr>
                <w:rFonts w:cs="Arial"/>
                <w:sz w:val="20"/>
                <w:szCs w:val="20"/>
              </w:rPr>
              <w:t>20.0</w:t>
            </w:r>
          </w:p>
        </w:tc>
        <w:tc>
          <w:tcPr>
            <w:tcW w:w="1108" w:type="dxa"/>
          </w:tcPr>
          <w:p w14:paraId="35A82B33" w14:textId="77777777" w:rsidR="009337DB" w:rsidRPr="008E1F35" w:rsidRDefault="009337DB">
            <w:pPr>
              <w:jc w:val="right"/>
              <w:rPr>
                <w:rFonts w:cs="Arial"/>
                <w:sz w:val="20"/>
                <w:szCs w:val="20"/>
              </w:rPr>
            </w:pPr>
            <w:r w:rsidRPr="008E1F35">
              <w:rPr>
                <w:rFonts w:cs="Arial"/>
                <w:sz w:val="20"/>
                <w:szCs w:val="20"/>
              </w:rPr>
              <w:t>25.6</w:t>
            </w:r>
          </w:p>
        </w:tc>
        <w:tc>
          <w:tcPr>
            <w:tcW w:w="1105" w:type="dxa"/>
          </w:tcPr>
          <w:p w14:paraId="0F8E0C23" w14:textId="77777777" w:rsidR="009337DB" w:rsidRPr="008E1F35" w:rsidRDefault="009337DB">
            <w:pPr>
              <w:jc w:val="right"/>
              <w:rPr>
                <w:rFonts w:cs="Arial"/>
                <w:sz w:val="20"/>
                <w:szCs w:val="20"/>
              </w:rPr>
            </w:pPr>
            <w:r w:rsidRPr="008E1F35">
              <w:rPr>
                <w:rFonts w:cs="Arial"/>
                <w:sz w:val="20"/>
                <w:szCs w:val="20"/>
              </w:rPr>
              <w:t>32.8</w:t>
            </w:r>
          </w:p>
        </w:tc>
      </w:tr>
      <w:tr w:rsidR="009337DB" w14:paraId="2802C63B" w14:textId="77777777" w:rsidTr="009337DB">
        <w:tc>
          <w:tcPr>
            <w:tcW w:w="1271" w:type="dxa"/>
          </w:tcPr>
          <w:p w14:paraId="23F6DED4" w14:textId="77777777" w:rsidR="009337DB" w:rsidRPr="008E1F35" w:rsidRDefault="009337DB" w:rsidP="009337DB">
            <w:pPr>
              <w:rPr>
                <w:rFonts w:cs="Arial"/>
                <w:sz w:val="20"/>
                <w:szCs w:val="20"/>
              </w:rPr>
            </w:pPr>
          </w:p>
        </w:tc>
        <w:tc>
          <w:tcPr>
            <w:tcW w:w="1276" w:type="dxa"/>
          </w:tcPr>
          <w:p w14:paraId="50CF2FCD" w14:textId="77777777" w:rsidR="009337DB" w:rsidRPr="008E1F35" w:rsidRDefault="009337DB" w:rsidP="009337DB">
            <w:pPr>
              <w:rPr>
                <w:rFonts w:cs="Arial"/>
                <w:sz w:val="20"/>
                <w:szCs w:val="20"/>
              </w:rPr>
            </w:pPr>
            <w:r w:rsidRPr="008E1F35">
              <w:rPr>
                <w:rFonts w:cs="Arial"/>
                <w:sz w:val="20"/>
                <w:szCs w:val="20"/>
              </w:rPr>
              <w:t>7 –10</w:t>
            </w:r>
          </w:p>
        </w:tc>
        <w:tc>
          <w:tcPr>
            <w:tcW w:w="995" w:type="dxa"/>
          </w:tcPr>
          <w:p w14:paraId="37699B92" w14:textId="77777777" w:rsidR="009337DB" w:rsidRPr="008E1F35" w:rsidRDefault="009337DB" w:rsidP="002A2011">
            <w:pPr>
              <w:jc w:val="right"/>
              <w:rPr>
                <w:rFonts w:cs="Arial"/>
                <w:sz w:val="20"/>
                <w:szCs w:val="20"/>
              </w:rPr>
            </w:pPr>
            <w:r w:rsidRPr="008E1F35">
              <w:rPr>
                <w:rFonts w:cs="Arial"/>
                <w:sz w:val="20"/>
                <w:szCs w:val="20"/>
              </w:rPr>
              <w:t>30.0</w:t>
            </w:r>
          </w:p>
        </w:tc>
        <w:tc>
          <w:tcPr>
            <w:tcW w:w="1111" w:type="dxa"/>
          </w:tcPr>
          <w:p w14:paraId="6982108B" w14:textId="77777777" w:rsidR="009337DB" w:rsidRPr="008E1F35" w:rsidRDefault="009337DB">
            <w:pPr>
              <w:jc w:val="right"/>
              <w:rPr>
                <w:rFonts w:cs="Arial"/>
                <w:sz w:val="20"/>
                <w:szCs w:val="20"/>
              </w:rPr>
            </w:pPr>
            <w:r w:rsidRPr="008E1F35">
              <w:rPr>
                <w:rFonts w:cs="Arial"/>
                <w:sz w:val="20"/>
                <w:szCs w:val="20"/>
              </w:rPr>
              <w:t>0.75</w:t>
            </w:r>
          </w:p>
        </w:tc>
        <w:tc>
          <w:tcPr>
            <w:tcW w:w="1108" w:type="dxa"/>
          </w:tcPr>
          <w:p w14:paraId="3DC1A2E7" w14:textId="77777777" w:rsidR="009337DB" w:rsidRPr="008E1F35" w:rsidRDefault="009337DB">
            <w:pPr>
              <w:jc w:val="right"/>
              <w:rPr>
                <w:rFonts w:cs="Arial"/>
                <w:sz w:val="20"/>
                <w:szCs w:val="20"/>
              </w:rPr>
            </w:pPr>
            <w:r w:rsidRPr="008E1F35">
              <w:rPr>
                <w:rFonts w:cs="Arial"/>
                <w:sz w:val="20"/>
                <w:szCs w:val="20"/>
              </w:rPr>
              <w:t>19.8</w:t>
            </w:r>
          </w:p>
        </w:tc>
        <w:tc>
          <w:tcPr>
            <w:tcW w:w="1108" w:type="dxa"/>
          </w:tcPr>
          <w:p w14:paraId="48933BCE" w14:textId="77777777" w:rsidR="009337DB" w:rsidRPr="008E1F35" w:rsidRDefault="009337DB">
            <w:pPr>
              <w:jc w:val="right"/>
              <w:rPr>
                <w:rFonts w:cs="Arial"/>
                <w:sz w:val="20"/>
                <w:szCs w:val="20"/>
              </w:rPr>
            </w:pPr>
            <w:r w:rsidRPr="008E1F35">
              <w:rPr>
                <w:rFonts w:cs="Arial"/>
                <w:sz w:val="20"/>
                <w:szCs w:val="20"/>
              </w:rPr>
              <w:t>28.8</w:t>
            </w:r>
          </w:p>
        </w:tc>
        <w:tc>
          <w:tcPr>
            <w:tcW w:w="1105" w:type="dxa"/>
          </w:tcPr>
          <w:p w14:paraId="536A170A" w14:textId="77777777" w:rsidR="009337DB" w:rsidRPr="008E1F35" w:rsidRDefault="009337DB">
            <w:pPr>
              <w:jc w:val="right"/>
              <w:rPr>
                <w:rFonts w:cs="Arial"/>
                <w:sz w:val="20"/>
                <w:szCs w:val="20"/>
              </w:rPr>
            </w:pPr>
            <w:r w:rsidRPr="008E1F35">
              <w:rPr>
                <w:rFonts w:cs="Arial"/>
                <w:sz w:val="20"/>
                <w:szCs w:val="20"/>
              </w:rPr>
              <w:t>41.6</w:t>
            </w:r>
          </w:p>
        </w:tc>
      </w:tr>
      <w:tr w:rsidR="009337DB" w14:paraId="53161A9B" w14:textId="77777777" w:rsidTr="009337DB">
        <w:tc>
          <w:tcPr>
            <w:tcW w:w="1271" w:type="dxa"/>
          </w:tcPr>
          <w:p w14:paraId="0D7B98FB" w14:textId="77777777" w:rsidR="009337DB" w:rsidRPr="008E1F35" w:rsidRDefault="009337DB" w:rsidP="009337DB">
            <w:pPr>
              <w:rPr>
                <w:rFonts w:cs="Arial"/>
                <w:sz w:val="20"/>
                <w:szCs w:val="20"/>
              </w:rPr>
            </w:pPr>
          </w:p>
        </w:tc>
        <w:tc>
          <w:tcPr>
            <w:tcW w:w="1276" w:type="dxa"/>
          </w:tcPr>
          <w:p w14:paraId="59A89CF7" w14:textId="77777777" w:rsidR="009337DB" w:rsidRPr="008E1F35" w:rsidRDefault="009337DB" w:rsidP="009337DB">
            <w:pPr>
              <w:rPr>
                <w:rFonts w:cs="Arial"/>
                <w:sz w:val="20"/>
                <w:szCs w:val="20"/>
              </w:rPr>
            </w:pPr>
            <w:r w:rsidRPr="008E1F35">
              <w:rPr>
                <w:rFonts w:cs="Arial"/>
                <w:sz w:val="20"/>
                <w:szCs w:val="20"/>
              </w:rPr>
              <w:t>11–14</w:t>
            </w:r>
          </w:p>
        </w:tc>
        <w:tc>
          <w:tcPr>
            <w:tcW w:w="995" w:type="dxa"/>
          </w:tcPr>
          <w:p w14:paraId="349A8A05" w14:textId="77777777" w:rsidR="009337DB" w:rsidRPr="008E1F35" w:rsidRDefault="009337DB" w:rsidP="002A2011">
            <w:pPr>
              <w:jc w:val="right"/>
              <w:rPr>
                <w:rFonts w:cs="Arial"/>
                <w:sz w:val="20"/>
                <w:szCs w:val="20"/>
              </w:rPr>
            </w:pPr>
            <w:r w:rsidRPr="008E1F35">
              <w:rPr>
                <w:rFonts w:cs="Arial"/>
                <w:sz w:val="20"/>
                <w:szCs w:val="20"/>
              </w:rPr>
              <w:t>37.6</w:t>
            </w:r>
          </w:p>
        </w:tc>
        <w:tc>
          <w:tcPr>
            <w:tcW w:w="1111" w:type="dxa"/>
          </w:tcPr>
          <w:p w14:paraId="27ADB6F0" w14:textId="77777777" w:rsidR="009337DB" w:rsidRPr="008E1F35" w:rsidRDefault="009337DB">
            <w:pPr>
              <w:jc w:val="right"/>
              <w:rPr>
                <w:rFonts w:cs="Arial"/>
                <w:sz w:val="20"/>
                <w:szCs w:val="20"/>
              </w:rPr>
            </w:pPr>
            <w:r w:rsidRPr="008E1F35">
              <w:rPr>
                <w:rFonts w:cs="Arial"/>
                <w:sz w:val="20"/>
                <w:szCs w:val="20"/>
              </w:rPr>
              <w:t>1.25</w:t>
            </w:r>
          </w:p>
        </w:tc>
        <w:tc>
          <w:tcPr>
            <w:tcW w:w="1108" w:type="dxa"/>
          </w:tcPr>
          <w:p w14:paraId="4E4FD5DA" w14:textId="77777777" w:rsidR="009337DB" w:rsidRPr="008E1F35" w:rsidRDefault="009337DB">
            <w:pPr>
              <w:jc w:val="right"/>
              <w:rPr>
                <w:rFonts w:cs="Arial"/>
                <w:sz w:val="20"/>
                <w:szCs w:val="20"/>
              </w:rPr>
            </w:pPr>
            <w:r w:rsidRPr="008E1F35">
              <w:rPr>
                <w:rFonts w:cs="Arial"/>
                <w:sz w:val="20"/>
                <w:szCs w:val="20"/>
              </w:rPr>
              <w:t>24.1</w:t>
            </w:r>
          </w:p>
        </w:tc>
        <w:tc>
          <w:tcPr>
            <w:tcW w:w="1108" w:type="dxa"/>
          </w:tcPr>
          <w:p w14:paraId="67CBDCAB" w14:textId="77777777" w:rsidR="009337DB" w:rsidRPr="008E1F35" w:rsidRDefault="009337DB">
            <w:pPr>
              <w:jc w:val="right"/>
              <w:rPr>
                <w:rFonts w:cs="Arial"/>
                <w:sz w:val="20"/>
                <w:szCs w:val="20"/>
              </w:rPr>
            </w:pPr>
            <w:r w:rsidRPr="008E1F35">
              <w:rPr>
                <w:rFonts w:cs="Arial"/>
                <w:sz w:val="20"/>
                <w:szCs w:val="20"/>
              </w:rPr>
              <w:t>36.0</w:t>
            </w:r>
          </w:p>
        </w:tc>
        <w:tc>
          <w:tcPr>
            <w:tcW w:w="1105" w:type="dxa"/>
          </w:tcPr>
          <w:p w14:paraId="12DD691C" w14:textId="77777777" w:rsidR="009337DB" w:rsidRPr="008E1F35" w:rsidRDefault="009337DB">
            <w:pPr>
              <w:jc w:val="right"/>
              <w:rPr>
                <w:rFonts w:cs="Arial"/>
                <w:sz w:val="20"/>
                <w:szCs w:val="20"/>
              </w:rPr>
            </w:pPr>
            <w:r w:rsidRPr="008E1F35">
              <w:rPr>
                <w:rFonts w:cs="Arial"/>
                <w:sz w:val="20"/>
                <w:szCs w:val="20"/>
              </w:rPr>
              <w:t>52.9</w:t>
            </w:r>
          </w:p>
        </w:tc>
      </w:tr>
      <w:tr w:rsidR="009337DB" w14:paraId="5AE4B9C2" w14:textId="77777777" w:rsidTr="009337DB">
        <w:tc>
          <w:tcPr>
            <w:tcW w:w="1271" w:type="dxa"/>
          </w:tcPr>
          <w:p w14:paraId="1207986F" w14:textId="77777777" w:rsidR="009337DB" w:rsidRPr="008E1F35" w:rsidRDefault="009337DB" w:rsidP="009337DB">
            <w:pPr>
              <w:rPr>
                <w:rFonts w:cs="Arial"/>
                <w:sz w:val="20"/>
                <w:szCs w:val="20"/>
              </w:rPr>
            </w:pPr>
          </w:p>
        </w:tc>
        <w:tc>
          <w:tcPr>
            <w:tcW w:w="1276" w:type="dxa"/>
          </w:tcPr>
          <w:p w14:paraId="486F91EC" w14:textId="1EED609D" w:rsidR="009337DB" w:rsidRPr="008E1F35" w:rsidRDefault="009337DB" w:rsidP="009337DB">
            <w:pPr>
              <w:rPr>
                <w:rFonts w:cs="Arial"/>
                <w:sz w:val="20"/>
                <w:szCs w:val="20"/>
              </w:rPr>
            </w:pPr>
            <w:r w:rsidRPr="008E1F35">
              <w:rPr>
                <w:rFonts w:cs="Arial"/>
                <w:sz w:val="20"/>
                <w:szCs w:val="20"/>
              </w:rPr>
              <w:t>Total</w:t>
            </w:r>
            <w:r w:rsidR="00C76348">
              <w:rPr>
                <w:rFonts w:cs="Arial"/>
                <w:sz w:val="20"/>
                <w:szCs w:val="20"/>
              </w:rPr>
              <w:t xml:space="preserve"> 5-14</w:t>
            </w:r>
          </w:p>
        </w:tc>
        <w:tc>
          <w:tcPr>
            <w:tcW w:w="995" w:type="dxa"/>
          </w:tcPr>
          <w:p w14:paraId="7B3DDC07" w14:textId="77777777" w:rsidR="009337DB" w:rsidRPr="008E1F35" w:rsidRDefault="009337DB" w:rsidP="002A2011">
            <w:pPr>
              <w:jc w:val="right"/>
              <w:rPr>
                <w:rFonts w:cs="Arial"/>
                <w:sz w:val="20"/>
                <w:szCs w:val="20"/>
              </w:rPr>
            </w:pPr>
            <w:r w:rsidRPr="008E1F35">
              <w:rPr>
                <w:rFonts w:cs="Arial"/>
                <w:sz w:val="20"/>
                <w:szCs w:val="20"/>
              </w:rPr>
              <w:t>32.3</w:t>
            </w:r>
          </w:p>
        </w:tc>
        <w:tc>
          <w:tcPr>
            <w:tcW w:w="1111" w:type="dxa"/>
          </w:tcPr>
          <w:p w14:paraId="0F2EFBD2" w14:textId="77777777" w:rsidR="009337DB" w:rsidRPr="008E1F35" w:rsidRDefault="009337DB">
            <w:pPr>
              <w:jc w:val="right"/>
              <w:rPr>
                <w:rFonts w:cs="Arial"/>
                <w:sz w:val="20"/>
                <w:szCs w:val="20"/>
              </w:rPr>
            </w:pPr>
            <w:r w:rsidRPr="008E1F35">
              <w:rPr>
                <w:rFonts w:cs="Arial"/>
                <w:sz w:val="20"/>
                <w:szCs w:val="20"/>
              </w:rPr>
              <w:t>0.58</w:t>
            </w:r>
          </w:p>
        </w:tc>
        <w:tc>
          <w:tcPr>
            <w:tcW w:w="1108" w:type="dxa"/>
          </w:tcPr>
          <w:p w14:paraId="187F63C2" w14:textId="77777777" w:rsidR="009337DB" w:rsidRPr="008E1F35" w:rsidRDefault="009337DB">
            <w:pPr>
              <w:jc w:val="right"/>
              <w:rPr>
                <w:rFonts w:cs="Arial"/>
                <w:sz w:val="20"/>
                <w:szCs w:val="20"/>
              </w:rPr>
            </w:pPr>
            <w:r w:rsidRPr="008E1F35">
              <w:rPr>
                <w:rFonts w:cs="Arial"/>
                <w:sz w:val="20"/>
                <w:szCs w:val="20"/>
              </w:rPr>
              <w:t>21.0</w:t>
            </w:r>
          </w:p>
        </w:tc>
        <w:tc>
          <w:tcPr>
            <w:tcW w:w="1108" w:type="dxa"/>
          </w:tcPr>
          <w:p w14:paraId="6A22D35B" w14:textId="77777777" w:rsidR="009337DB" w:rsidRPr="008E1F35" w:rsidRDefault="009337DB">
            <w:pPr>
              <w:jc w:val="right"/>
              <w:rPr>
                <w:rFonts w:cs="Arial"/>
                <w:sz w:val="20"/>
                <w:szCs w:val="20"/>
              </w:rPr>
            </w:pPr>
            <w:r w:rsidRPr="008E1F35">
              <w:rPr>
                <w:rFonts w:cs="Arial"/>
                <w:sz w:val="20"/>
                <w:szCs w:val="20"/>
              </w:rPr>
              <w:t>30.7</w:t>
            </w:r>
          </w:p>
        </w:tc>
        <w:tc>
          <w:tcPr>
            <w:tcW w:w="1105" w:type="dxa"/>
          </w:tcPr>
          <w:p w14:paraId="551327A5" w14:textId="77777777" w:rsidR="009337DB" w:rsidRPr="008E1F35" w:rsidRDefault="009337DB">
            <w:pPr>
              <w:jc w:val="right"/>
              <w:rPr>
                <w:rFonts w:cs="Arial"/>
                <w:sz w:val="20"/>
                <w:szCs w:val="20"/>
              </w:rPr>
            </w:pPr>
            <w:r w:rsidRPr="008E1F35">
              <w:rPr>
                <w:rFonts w:cs="Arial"/>
                <w:sz w:val="20"/>
                <w:szCs w:val="20"/>
              </w:rPr>
              <w:t>45.4</w:t>
            </w:r>
          </w:p>
        </w:tc>
      </w:tr>
      <w:tr w:rsidR="009337DB" w14:paraId="4AB83E9F" w14:textId="77777777" w:rsidTr="009337DB">
        <w:tc>
          <w:tcPr>
            <w:tcW w:w="1271" w:type="dxa"/>
          </w:tcPr>
          <w:p w14:paraId="13B738FF" w14:textId="77777777" w:rsidR="009337DB" w:rsidRPr="008E1F35" w:rsidRDefault="009337DB" w:rsidP="009337DB">
            <w:pPr>
              <w:rPr>
                <w:rFonts w:cs="Arial"/>
                <w:sz w:val="20"/>
                <w:szCs w:val="20"/>
              </w:rPr>
            </w:pPr>
          </w:p>
        </w:tc>
        <w:tc>
          <w:tcPr>
            <w:tcW w:w="1276" w:type="dxa"/>
          </w:tcPr>
          <w:p w14:paraId="7712493A" w14:textId="77777777" w:rsidR="009337DB" w:rsidRPr="008E1F35" w:rsidRDefault="009337DB" w:rsidP="009337DB">
            <w:pPr>
              <w:rPr>
                <w:rFonts w:cs="Arial"/>
                <w:sz w:val="20"/>
                <w:szCs w:val="20"/>
              </w:rPr>
            </w:pPr>
          </w:p>
        </w:tc>
        <w:tc>
          <w:tcPr>
            <w:tcW w:w="995" w:type="dxa"/>
          </w:tcPr>
          <w:p w14:paraId="139037ED" w14:textId="77777777" w:rsidR="009337DB" w:rsidRPr="008E1F35" w:rsidRDefault="009337DB" w:rsidP="002A2011">
            <w:pPr>
              <w:jc w:val="right"/>
              <w:rPr>
                <w:rFonts w:cs="Arial"/>
                <w:sz w:val="20"/>
                <w:szCs w:val="20"/>
              </w:rPr>
            </w:pPr>
          </w:p>
        </w:tc>
        <w:tc>
          <w:tcPr>
            <w:tcW w:w="1111" w:type="dxa"/>
          </w:tcPr>
          <w:p w14:paraId="1EBE2A55" w14:textId="77777777" w:rsidR="009337DB" w:rsidRPr="008E1F35" w:rsidRDefault="009337DB">
            <w:pPr>
              <w:jc w:val="right"/>
              <w:rPr>
                <w:rFonts w:cs="Arial"/>
                <w:sz w:val="20"/>
                <w:szCs w:val="20"/>
              </w:rPr>
            </w:pPr>
          </w:p>
        </w:tc>
        <w:tc>
          <w:tcPr>
            <w:tcW w:w="1108" w:type="dxa"/>
          </w:tcPr>
          <w:p w14:paraId="006AD14E" w14:textId="77777777" w:rsidR="009337DB" w:rsidRPr="008E1F35" w:rsidRDefault="009337DB">
            <w:pPr>
              <w:jc w:val="right"/>
              <w:rPr>
                <w:rFonts w:cs="Arial"/>
                <w:sz w:val="20"/>
                <w:szCs w:val="20"/>
              </w:rPr>
            </w:pPr>
          </w:p>
        </w:tc>
        <w:tc>
          <w:tcPr>
            <w:tcW w:w="1108" w:type="dxa"/>
          </w:tcPr>
          <w:p w14:paraId="1CEC4952" w14:textId="77777777" w:rsidR="009337DB" w:rsidRPr="008E1F35" w:rsidRDefault="009337DB">
            <w:pPr>
              <w:jc w:val="right"/>
              <w:rPr>
                <w:rFonts w:cs="Arial"/>
                <w:sz w:val="20"/>
                <w:szCs w:val="20"/>
              </w:rPr>
            </w:pPr>
          </w:p>
        </w:tc>
        <w:tc>
          <w:tcPr>
            <w:tcW w:w="1105" w:type="dxa"/>
          </w:tcPr>
          <w:p w14:paraId="2FC59A2B" w14:textId="77777777" w:rsidR="009337DB" w:rsidRPr="008E1F35" w:rsidRDefault="009337DB">
            <w:pPr>
              <w:jc w:val="right"/>
              <w:rPr>
                <w:rFonts w:cs="Arial"/>
                <w:sz w:val="20"/>
                <w:szCs w:val="20"/>
              </w:rPr>
            </w:pPr>
          </w:p>
        </w:tc>
      </w:tr>
      <w:tr w:rsidR="009337DB" w14:paraId="3226EF51" w14:textId="77777777" w:rsidTr="009337DB">
        <w:tc>
          <w:tcPr>
            <w:tcW w:w="1271" w:type="dxa"/>
          </w:tcPr>
          <w:p w14:paraId="1947378A" w14:textId="77777777" w:rsidR="009337DB" w:rsidRPr="008E1F35" w:rsidRDefault="009337DB" w:rsidP="009337DB">
            <w:pPr>
              <w:rPr>
                <w:rFonts w:cs="Arial"/>
                <w:sz w:val="20"/>
                <w:szCs w:val="20"/>
              </w:rPr>
            </w:pPr>
            <w:r w:rsidRPr="008E1F35">
              <w:rPr>
                <w:rFonts w:cs="Arial"/>
                <w:sz w:val="20"/>
                <w:szCs w:val="20"/>
              </w:rPr>
              <w:t>Females</w:t>
            </w:r>
          </w:p>
        </w:tc>
        <w:tc>
          <w:tcPr>
            <w:tcW w:w="1276" w:type="dxa"/>
          </w:tcPr>
          <w:p w14:paraId="5C2A55CA" w14:textId="77777777" w:rsidR="009337DB" w:rsidRPr="008E1F35" w:rsidRDefault="009337DB" w:rsidP="009337DB">
            <w:pPr>
              <w:rPr>
                <w:rFonts w:cs="Arial"/>
                <w:sz w:val="20"/>
                <w:szCs w:val="20"/>
              </w:rPr>
            </w:pPr>
            <w:r w:rsidRPr="008E1F35">
              <w:rPr>
                <w:rFonts w:cs="Arial"/>
                <w:sz w:val="20"/>
                <w:szCs w:val="20"/>
              </w:rPr>
              <w:t>5 - 6</w:t>
            </w:r>
          </w:p>
        </w:tc>
        <w:tc>
          <w:tcPr>
            <w:tcW w:w="995" w:type="dxa"/>
          </w:tcPr>
          <w:p w14:paraId="5F2A0A1C" w14:textId="77777777" w:rsidR="009337DB" w:rsidRPr="008E1F35" w:rsidRDefault="009337DB" w:rsidP="002A2011">
            <w:pPr>
              <w:jc w:val="right"/>
              <w:rPr>
                <w:rFonts w:cs="Arial"/>
                <w:sz w:val="20"/>
                <w:szCs w:val="20"/>
              </w:rPr>
            </w:pPr>
            <w:r w:rsidRPr="008E1F35">
              <w:rPr>
                <w:rFonts w:cs="Arial"/>
                <w:sz w:val="20"/>
                <w:szCs w:val="20"/>
              </w:rPr>
              <w:t>21.6</w:t>
            </w:r>
          </w:p>
        </w:tc>
        <w:tc>
          <w:tcPr>
            <w:tcW w:w="1111" w:type="dxa"/>
          </w:tcPr>
          <w:p w14:paraId="6AD2CB4E" w14:textId="77777777" w:rsidR="009337DB" w:rsidRPr="008E1F35" w:rsidRDefault="009337DB">
            <w:pPr>
              <w:jc w:val="right"/>
              <w:rPr>
                <w:rFonts w:cs="Arial"/>
                <w:sz w:val="20"/>
                <w:szCs w:val="20"/>
              </w:rPr>
            </w:pPr>
            <w:r w:rsidRPr="008E1F35">
              <w:rPr>
                <w:rFonts w:cs="Arial"/>
                <w:sz w:val="20"/>
                <w:szCs w:val="20"/>
              </w:rPr>
              <w:t>0.72</w:t>
            </w:r>
          </w:p>
        </w:tc>
        <w:tc>
          <w:tcPr>
            <w:tcW w:w="1108" w:type="dxa"/>
          </w:tcPr>
          <w:p w14:paraId="33CE6832" w14:textId="77777777" w:rsidR="009337DB" w:rsidRPr="008E1F35" w:rsidRDefault="009337DB">
            <w:pPr>
              <w:jc w:val="right"/>
              <w:rPr>
                <w:rFonts w:cs="Arial"/>
                <w:sz w:val="20"/>
                <w:szCs w:val="20"/>
              </w:rPr>
            </w:pPr>
            <w:r w:rsidRPr="008E1F35">
              <w:rPr>
                <w:rFonts w:cs="Arial"/>
                <w:sz w:val="20"/>
                <w:szCs w:val="20"/>
              </w:rPr>
              <w:t>16.2</w:t>
            </w:r>
          </w:p>
        </w:tc>
        <w:tc>
          <w:tcPr>
            <w:tcW w:w="1108" w:type="dxa"/>
          </w:tcPr>
          <w:p w14:paraId="10801F8F" w14:textId="77777777" w:rsidR="009337DB" w:rsidRPr="008E1F35" w:rsidRDefault="009337DB">
            <w:pPr>
              <w:jc w:val="right"/>
              <w:rPr>
                <w:rFonts w:cs="Arial"/>
                <w:sz w:val="20"/>
                <w:szCs w:val="20"/>
              </w:rPr>
            </w:pPr>
            <w:r w:rsidRPr="008E1F35">
              <w:rPr>
                <w:rFonts w:cs="Arial"/>
                <w:sz w:val="20"/>
                <w:szCs w:val="20"/>
              </w:rPr>
              <w:t>21.0</w:t>
            </w:r>
          </w:p>
        </w:tc>
        <w:tc>
          <w:tcPr>
            <w:tcW w:w="1105" w:type="dxa"/>
          </w:tcPr>
          <w:p w14:paraId="1E4758D0" w14:textId="77777777" w:rsidR="009337DB" w:rsidRPr="008E1F35" w:rsidRDefault="009337DB">
            <w:pPr>
              <w:jc w:val="right"/>
              <w:rPr>
                <w:rFonts w:cs="Arial"/>
                <w:sz w:val="20"/>
                <w:szCs w:val="20"/>
              </w:rPr>
            </w:pPr>
            <w:r w:rsidRPr="008E1F35">
              <w:rPr>
                <w:rFonts w:cs="Arial"/>
                <w:sz w:val="20"/>
                <w:szCs w:val="20"/>
              </w:rPr>
              <w:t>27.7</w:t>
            </w:r>
          </w:p>
        </w:tc>
      </w:tr>
      <w:tr w:rsidR="009337DB" w14:paraId="68821BFD" w14:textId="77777777" w:rsidTr="009337DB">
        <w:tc>
          <w:tcPr>
            <w:tcW w:w="1271" w:type="dxa"/>
          </w:tcPr>
          <w:p w14:paraId="1AB7C268" w14:textId="77777777" w:rsidR="009337DB" w:rsidRPr="008E1F35" w:rsidRDefault="009337DB" w:rsidP="009337DB">
            <w:pPr>
              <w:rPr>
                <w:rFonts w:cs="Arial"/>
                <w:sz w:val="20"/>
                <w:szCs w:val="20"/>
              </w:rPr>
            </w:pPr>
          </w:p>
        </w:tc>
        <w:tc>
          <w:tcPr>
            <w:tcW w:w="1276" w:type="dxa"/>
          </w:tcPr>
          <w:p w14:paraId="16A9CA4E" w14:textId="77777777" w:rsidR="009337DB" w:rsidRPr="008E1F35" w:rsidRDefault="009337DB" w:rsidP="009337DB">
            <w:pPr>
              <w:rPr>
                <w:rFonts w:cs="Arial"/>
                <w:sz w:val="20"/>
                <w:szCs w:val="20"/>
              </w:rPr>
            </w:pPr>
            <w:r w:rsidRPr="008E1F35">
              <w:rPr>
                <w:rFonts w:cs="Arial"/>
                <w:sz w:val="20"/>
                <w:szCs w:val="20"/>
              </w:rPr>
              <w:t>7 –10</w:t>
            </w:r>
          </w:p>
        </w:tc>
        <w:tc>
          <w:tcPr>
            <w:tcW w:w="995" w:type="dxa"/>
          </w:tcPr>
          <w:p w14:paraId="0AC2C07F" w14:textId="77777777" w:rsidR="009337DB" w:rsidRPr="008E1F35" w:rsidRDefault="009337DB" w:rsidP="002A2011">
            <w:pPr>
              <w:jc w:val="right"/>
              <w:rPr>
                <w:rFonts w:cs="Arial"/>
                <w:sz w:val="20"/>
                <w:szCs w:val="20"/>
              </w:rPr>
            </w:pPr>
            <w:r w:rsidRPr="008E1F35">
              <w:rPr>
                <w:rFonts w:cs="Arial"/>
                <w:sz w:val="20"/>
                <w:szCs w:val="20"/>
              </w:rPr>
              <w:t>26.0</w:t>
            </w:r>
          </w:p>
        </w:tc>
        <w:tc>
          <w:tcPr>
            <w:tcW w:w="1111" w:type="dxa"/>
          </w:tcPr>
          <w:p w14:paraId="6C5F776A" w14:textId="77777777" w:rsidR="009337DB" w:rsidRPr="008E1F35" w:rsidRDefault="009337DB">
            <w:pPr>
              <w:jc w:val="right"/>
              <w:rPr>
                <w:rFonts w:cs="Arial"/>
                <w:sz w:val="20"/>
                <w:szCs w:val="20"/>
              </w:rPr>
            </w:pPr>
            <w:r w:rsidRPr="008E1F35">
              <w:rPr>
                <w:rFonts w:cs="Arial"/>
                <w:sz w:val="20"/>
                <w:szCs w:val="20"/>
              </w:rPr>
              <w:t>0.59</w:t>
            </w:r>
          </w:p>
        </w:tc>
        <w:tc>
          <w:tcPr>
            <w:tcW w:w="1108" w:type="dxa"/>
          </w:tcPr>
          <w:p w14:paraId="25750EF4" w14:textId="77777777" w:rsidR="009337DB" w:rsidRPr="008E1F35" w:rsidRDefault="009337DB">
            <w:pPr>
              <w:jc w:val="right"/>
              <w:rPr>
                <w:rFonts w:cs="Arial"/>
                <w:sz w:val="20"/>
                <w:szCs w:val="20"/>
              </w:rPr>
            </w:pPr>
            <w:r w:rsidRPr="008E1F35">
              <w:rPr>
                <w:rFonts w:cs="Arial"/>
                <w:sz w:val="20"/>
                <w:szCs w:val="20"/>
              </w:rPr>
              <w:t>17.8</w:t>
            </w:r>
          </w:p>
        </w:tc>
        <w:tc>
          <w:tcPr>
            <w:tcW w:w="1108" w:type="dxa"/>
          </w:tcPr>
          <w:p w14:paraId="16CB5A6B" w14:textId="77777777" w:rsidR="009337DB" w:rsidRPr="008E1F35" w:rsidRDefault="009337DB">
            <w:pPr>
              <w:jc w:val="right"/>
              <w:rPr>
                <w:rFonts w:cs="Arial"/>
                <w:sz w:val="20"/>
                <w:szCs w:val="20"/>
              </w:rPr>
            </w:pPr>
            <w:r w:rsidRPr="008E1F35">
              <w:rPr>
                <w:rFonts w:cs="Arial"/>
                <w:sz w:val="20"/>
                <w:szCs w:val="20"/>
              </w:rPr>
              <w:t>25.1</w:t>
            </w:r>
          </w:p>
        </w:tc>
        <w:tc>
          <w:tcPr>
            <w:tcW w:w="1105" w:type="dxa"/>
          </w:tcPr>
          <w:p w14:paraId="1258820E" w14:textId="77777777" w:rsidR="009337DB" w:rsidRPr="008E1F35" w:rsidRDefault="009337DB">
            <w:pPr>
              <w:jc w:val="right"/>
              <w:rPr>
                <w:rFonts w:cs="Arial"/>
                <w:sz w:val="20"/>
                <w:szCs w:val="20"/>
              </w:rPr>
            </w:pPr>
            <w:r w:rsidRPr="008E1F35">
              <w:rPr>
                <w:rFonts w:cs="Arial"/>
                <w:sz w:val="20"/>
                <w:szCs w:val="20"/>
              </w:rPr>
              <w:t>35.3</w:t>
            </w:r>
          </w:p>
        </w:tc>
      </w:tr>
      <w:tr w:rsidR="009337DB" w14:paraId="4D33362B" w14:textId="77777777" w:rsidTr="009337DB">
        <w:tc>
          <w:tcPr>
            <w:tcW w:w="1271" w:type="dxa"/>
          </w:tcPr>
          <w:p w14:paraId="6278AEFF" w14:textId="77777777" w:rsidR="009337DB" w:rsidRPr="008E1F35" w:rsidRDefault="009337DB" w:rsidP="009337DB">
            <w:pPr>
              <w:rPr>
                <w:rFonts w:cs="Arial"/>
                <w:sz w:val="20"/>
                <w:szCs w:val="20"/>
              </w:rPr>
            </w:pPr>
          </w:p>
        </w:tc>
        <w:tc>
          <w:tcPr>
            <w:tcW w:w="1276" w:type="dxa"/>
          </w:tcPr>
          <w:p w14:paraId="4ADE50AA" w14:textId="77777777" w:rsidR="009337DB" w:rsidRPr="008E1F35" w:rsidRDefault="009337DB" w:rsidP="009337DB">
            <w:pPr>
              <w:rPr>
                <w:rFonts w:cs="Arial"/>
                <w:sz w:val="20"/>
                <w:szCs w:val="20"/>
              </w:rPr>
            </w:pPr>
            <w:r w:rsidRPr="008E1F35">
              <w:rPr>
                <w:rFonts w:cs="Arial"/>
                <w:sz w:val="20"/>
                <w:szCs w:val="20"/>
              </w:rPr>
              <w:t>11–14</w:t>
            </w:r>
          </w:p>
        </w:tc>
        <w:tc>
          <w:tcPr>
            <w:tcW w:w="995" w:type="dxa"/>
          </w:tcPr>
          <w:p w14:paraId="4DC97667" w14:textId="77777777" w:rsidR="009337DB" w:rsidRPr="008E1F35" w:rsidRDefault="009337DB" w:rsidP="002A2011">
            <w:pPr>
              <w:jc w:val="right"/>
              <w:rPr>
                <w:rFonts w:cs="Arial"/>
                <w:sz w:val="20"/>
                <w:szCs w:val="20"/>
              </w:rPr>
            </w:pPr>
            <w:r w:rsidRPr="008E1F35">
              <w:rPr>
                <w:rFonts w:cs="Arial"/>
                <w:sz w:val="20"/>
                <w:szCs w:val="20"/>
              </w:rPr>
              <w:t>28.0</w:t>
            </w:r>
          </w:p>
        </w:tc>
        <w:tc>
          <w:tcPr>
            <w:tcW w:w="1111" w:type="dxa"/>
          </w:tcPr>
          <w:p w14:paraId="44D035CB" w14:textId="77777777" w:rsidR="009337DB" w:rsidRPr="008E1F35" w:rsidRDefault="009337DB">
            <w:pPr>
              <w:jc w:val="right"/>
              <w:rPr>
                <w:rFonts w:cs="Arial"/>
                <w:sz w:val="20"/>
                <w:szCs w:val="20"/>
              </w:rPr>
            </w:pPr>
            <w:r w:rsidRPr="008E1F35">
              <w:rPr>
                <w:rFonts w:cs="Arial"/>
                <w:sz w:val="20"/>
                <w:szCs w:val="20"/>
              </w:rPr>
              <w:t>1.28</w:t>
            </w:r>
          </w:p>
        </w:tc>
        <w:tc>
          <w:tcPr>
            <w:tcW w:w="1108" w:type="dxa"/>
          </w:tcPr>
          <w:p w14:paraId="02AC8790" w14:textId="77777777" w:rsidR="009337DB" w:rsidRPr="008E1F35" w:rsidRDefault="009337DB">
            <w:pPr>
              <w:jc w:val="right"/>
              <w:rPr>
                <w:rFonts w:cs="Arial"/>
                <w:sz w:val="20"/>
                <w:szCs w:val="20"/>
              </w:rPr>
            </w:pPr>
            <w:r w:rsidRPr="008E1F35">
              <w:rPr>
                <w:rFonts w:cs="Arial"/>
                <w:sz w:val="20"/>
                <w:szCs w:val="20"/>
              </w:rPr>
              <w:t>23.0</w:t>
            </w:r>
          </w:p>
        </w:tc>
        <w:tc>
          <w:tcPr>
            <w:tcW w:w="1108" w:type="dxa"/>
          </w:tcPr>
          <w:p w14:paraId="2FD9587C" w14:textId="77777777" w:rsidR="009337DB" w:rsidRPr="008E1F35" w:rsidRDefault="009337DB">
            <w:pPr>
              <w:jc w:val="right"/>
              <w:rPr>
                <w:rFonts w:cs="Arial"/>
                <w:sz w:val="20"/>
                <w:szCs w:val="20"/>
              </w:rPr>
            </w:pPr>
            <w:r w:rsidRPr="008E1F35">
              <w:rPr>
                <w:rFonts w:cs="Arial"/>
                <w:sz w:val="20"/>
                <w:szCs w:val="20"/>
              </w:rPr>
              <w:t>27.7</w:t>
            </w:r>
          </w:p>
        </w:tc>
        <w:tc>
          <w:tcPr>
            <w:tcW w:w="1105" w:type="dxa"/>
          </w:tcPr>
          <w:p w14:paraId="4024573B" w14:textId="77777777" w:rsidR="009337DB" w:rsidRPr="008E1F35" w:rsidRDefault="009337DB">
            <w:pPr>
              <w:jc w:val="right"/>
              <w:rPr>
                <w:rFonts w:cs="Arial"/>
                <w:sz w:val="20"/>
                <w:szCs w:val="20"/>
              </w:rPr>
            </w:pPr>
            <w:r w:rsidRPr="008E1F35">
              <w:rPr>
                <w:rFonts w:cs="Arial"/>
                <w:sz w:val="20"/>
                <w:szCs w:val="20"/>
              </w:rPr>
              <w:t>33.4</w:t>
            </w:r>
          </w:p>
        </w:tc>
      </w:tr>
      <w:tr w:rsidR="009337DB" w14:paraId="2EF1FE2A" w14:textId="77777777" w:rsidTr="009337DB">
        <w:tc>
          <w:tcPr>
            <w:tcW w:w="1271" w:type="dxa"/>
          </w:tcPr>
          <w:p w14:paraId="40B1F141" w14:textId="77777777" w:rsidR="009337DB" w:rsidRPr="008E1F35" w:rsidRDefault="009337DB" w:rsidP="009337DB">
            <w:pPr>
              <w:rPr>
                <w:rFonts w:cs="Arial"/>
                <w:sz w:val="20"/>
                <w:szCs w:val="20"/>
              </w:rPr>
            </w:pPr>
          </w:p>
        </w:tc>
        <w:tc>
          <w:tcPr>
            <w:tcW w:w="1276" w:type="dxa"/>
          </w:tcPr>
          <w:p w14:paraId="05811818" w14:textId="39E85423" w:rsidR="009337DB" w:rsidRPr="008E1F35" w:rsidRDefault="009337DB" w:rsidP="009337DB">
            <w:pPr>
              <w:rPr>
                <w:rFonts w:cs="Arial"/>
                <w:sz w:val="20"/>
                <w:szCs w:val="20"/>
              </w:rPr>
            </w:pPr>
            <w:r w:rsidRPr="008E1F35">
              <w:rPr>
                <w:rFonts w:cs="Arial"/>
                <w:sz w:val="20"/>
                <w:szCs w:val="20"/>
              </w:rPr>
              <w:t>Total</w:t>
            </w:r>
            <w:r w:rsidR="00C76348">
              <w:rPr>
                <w:rFonts w:cs="Arial"/>
                <w:sz w:val="20"/>
                <w:szCs w:val="20"/>
              </w:rPr>
              <w:t xml:space="preserve"> 5-14</w:t>
            </w:r>
          </w:p>
        </w:tc>
        <w:tc>
          <w:tcPr>
            <w:tcW w:w="995" w:type="dxa"/>
          </w:tcPr>
          <w:p w14:paraId="4485FD27" w14:textId="77777777" w:rsidR="009337DB" w:rsidRPr="008E1F35" w:rsidRDefault="009337DB" w:rsidP="002A2011">
            <w:pPr>
              <w:jc w:val="right"/>
              <w:rPr>
                <w:rFonts w:cs="Arial"/>
                <w:sz w:val="20"/>
                <w:szCs w:val="20"/>
              </w:rPr>
            </w:pPr>
            <w:r w:rsidRPr="008E1F35">
              <w:rPr>
                <w:rFonts w:cs="Arial"/>
                <w:sz w:val="20"/>
                <w:szCs w:val="20"/>
              </w:rPr>
              <w:t>26.0</w:t>
            </w:r>
          </w:p>
        </w:tc>
        <w:tc>
          <w:tcPr>
            <w:tcW w:w="1111" w:type="dxa"/>
          </w:tcPr>
          <w:p w14:paraId="634D8FFE" w14:textId="77777777" w:rsidR="009337DB" w:rsidRPr="008E1F35" w:rsidRDefault="009337DB">
            <w:pPr>
              <w:jc w:val="right"/>
              <w:rPr>
                <w:rFonts w:cs="Arial"/>
                <w:sz w:val="20"/>
                <w:szCs w:val="20"/>
              </w:rPr>
            </w:pPr>
            <w:r w:rsidRPr="008E1F35">
              <w:rPr>
                <w:rFonts w:cs="Arial"/>
                <w:sz w:val="20"/>
                <w:szCs w:val="20"/>
              </w:rPr>
              <w:t>0.61</w:t>
            </w:r>
          </w:p>
        </w:tc>
        <w:tc>
          <w:tcPr>
            <w:tcW w:w="1108" w:type="dxa"/>
          </w:tcPr>
          <w:p w14:paraId="3199E069" w14:textId="77777777" w:rsidR="009337DB" w:rsidRPr="008E1F35" w:rsidRDefault="009337DB">
            <w:pPr>
              <w:jc w:val="right"/>
              <w:rPr>
                <w:rFonts w:cs="Arial"/>
                <w:sz w:val="20"/>
                <w:szCs w:val="20"/>
              </w:rPr>
            </w:pPr>
            <w:r w:rsidRPr="008E1F35">
              <w:rPr>
                <w:rFonts w:cs="Arial"/>
                <w:sz w:val="20"/>
                <w:szCs w:val="20"/>
              </w:rPr>
              <w:t>18.9</w:t>
            </w:r>
          </w:p>
        </w:tc>
        <w:tc>
          <w:tcPr>
            <w:tcW w:w="1108" w:type="dxa"/>
          </w:tcPr>
          <w:p w14:paraId="7742ED83" w14:textId="77777777" w:rsidR="009337DB" w:rsidRPr="008E1F35" w:rsidRDefault="009337DB">
            <w:pPr>
              <w:jc w:val="right"/>
              <w:rPr>
                <w:rFonts w:cs="Arial"/>
                <w:sz w:val="20"/>
                <w:szCs w:val="20"/>
              </w:rPr>
            </w:pPr>
            <w:r w:rsidRPr="008E1F35">
              <w:rPr>
                <w:rFonts w:cs="Arial"/>
                <w:sz w:val="20"/>
                <w:szCs w:val="20"/>
              </w:rPr>
              <w:t>25.3</w:t>
            </w:r>
          </w:p>
        </w:tc>
        <w:tc>
          <w:tcPr>
            <w:tcW w:w="1105" w:type="dxa"/>
          </w:tcPr>
          <w:p w14:paraId="5D9EC4D5" w14:textId="77777777" w:rsidR="009337DB" w:rsidRPr="008E1F35" w:rsidRDefault="009337DB">
            <w:pPr>
              <w:jc w:val="right"/>
              <w:rPr>
                <w:rFonts w:cs="Arial"/>
                <w:sz w:val="20"/>
                <w:szCs w:val="20"/>
              </w:rPr>
            </w:pPr>
            <w:r w:rsidRPr="008E1F35">
              <w:rPr>
                <w:rFonts w:cs="Arial"/>
                <w:sz w:val="20"/>
                <w:szCs w:val="20"/>
              </w:rPr>
              <w:t>33.9</w:t>
            </w:r>
          </w:p>
        </w:tc>
      </w:tr>
    </w:tbl>
    <w:p w14:paraId="4DBEDEA0" w14:textId="77777777" w:rsidR="009337DB" w:rsidRPr="008E1F35" w:rsidRDefault="009337DB" w:rsidP="008E1F35">
      <w:pPr>
        <w:widowControl/>
        <w:autoSpaceDE w:val="0"/>
        <w:autoSpaceDN w:val="0"/>
        <w:adjustRightInd w:val="0"/>
        <w:rPr>
          <w:rFonts w:cs="Arial"/>
          <w:sz w:val="18"/>
          <w:szCs w:val="18"/>
          <w:lang w:eastAsia="en-GB" w:bidi="ar-SA"/>
        </w:rPr>
      </w:pPr>
      <w:r w:rsidRPr="008E1F35">
        <w:rPr>
          <w:rFonts w:cs="Arial"/>
          <w:sz w:val="18"/>
          <w:szCs w:val="18"/>
          <w:lang w:eastAsia="en-GB" w:bidi="ar-SA"/>
        </w:rPr>
        <w:t>* Percentiles.</w:t>
      </w:r>
    </w:p>
    <w:p w14:paraId="2E6F8714" w14:textId="00B5602B" w:rsidR="009337DB" w:rsidRDefault="009337DB" w:rsidP="008E1F35">
      <w:pPr>
        <w:widowControl/>
        <w:autoSpaceDE w:val="0"/>
        <w:autoSpaceDN w:val="0"/>
        <w:adjustRightInd w:val="0"/>
        <w:rPr>
          <w:rFonts w:cs="Arial"/>
          <w:sz w:val="18"/>
          <w:szCs w:val="18"/>
          <w:lang w:eastAsia="en-GB" w:bidi="ar-SA"/>
        </w:rPr>
      </w:pPr>
      <w:r w:rsidRPr="008E1F35">
        <w:rPr>
          <w:rFonts w:cs="Arial"/>
          <w:sz w:val="18"/>
          <w:szCs w:val="18"/>
          <w:lang w:eastAsia="en-GB" w:bidi="ar-SA"/>
        </w:rPr>
        <w:t>1 Usual intake. These data were adjusted for intra-individual variation using PC-SIDE</w:t>
      </w:r>
    </w:p>
    <w:p w14:paraId="493705D9" w14:textId="647E713F" w:rsidR="00FE6FC6" w:rsidRPr="008E1F35" w:rsidRDefault="00FE6FC6" w:rsidP="008E1F35">
      <w:pPr>
        <w:widowControl/>
        <w:autoSpaceDE w:val="0"/>
        <w:autoSpaceDN w:val="0"/>
        <w:adjustRightInd w:val="0"/>
        <w:rPr>
          <w:rFonts w:cs="Arial"/>
          <w:sz w:val="18"/>
          <w:szCs w:val="18"/>
          <w:lang w:eastAsia="en-GB" w:bidi="ar-SA"/>
        </w:rPr>
      </w:pPr>
      <w:r>
        <w:rPr>
          <w:rFonts w:cs="Arial"/>
          <w:sz w:val="18"/>
          <w:szCs w:val="18"/>
          <w:lang w:eastAsia="en-GB" w:bidi="ar-SA"/>
        </w:rPr>
        <w:t xml:space="preserve">Source: </w:t>
      </w:r>
      <w:r w:rsidRPr="00FE6FC6">
        <w:rPr>
          <w:rFonts w:cs="Arial"/>
          <w:sz w:val="18"/>
          <w:szCs w:val="18"/>
          <w:lang w:eastAsia="en-GB" w:bidi="ar-SA"/>
        </w:rPr>
        <w:t>2002 NZ CNS, Ministry of Health (2003)</w:t>
      </w:r>
    </w:p>
    <w:p w14:paraId="13B8644A" w14:textId="32D64C7D" w:rsidR="00AC22B3" w:rsidRPr="00FE6FC6" w:rsidRDefault="00AC22B3" w:rsidP="00DC1455">
      <w:pPr>
        <w:pStyle w:val="FSTableColumnRowheading"/>
        <w:rPr>
          <w:rFonts w:eastAsia="Times New Roman" w:cs="Arial"/>
          <w:b w:val="0"/>
          <w:sz w:val="18"/>
          <w:szCs w:val="18"/>
          <w:lang w:eastAsia="en-GB"/>
        </w:rPr>
      </w:pPr>
    </w:p>
    <w:p w14:paraId="03A5B960" w14:textId="77777777" w:rsidR="008145B1" w:rsidRDefault="008145B1">
      <w:pPr>
        <w:widowControl/>
      </w:pPr>
    </w:p>
    <w:p w14:paraId="280EAED7" w14:textId="7FA288F2" w:rsidR="00AE20A9" w:rsidRDefault="00AE20A9" w:rsidP="00AE20A9">
      <w:pPr>
        <w:pStyle w:val="FSTableColumnRowheading"/>
      </w:pPr>
      <w:r w:rsidRPr="00C10032">
        <w:rPr>
          <w:i/>
        </w:rPr>
        <w:t>T</w:t>
      </w:r>
      <w:r w:rsidR="00C10032" w:rsidRPr="00C10032">
        <w:rPr>
          <w:i/>
        </w:rPr>
        <w:t>able</w:t>
      </w:r>
      <w:r w:rsidRPr="00C10032">
        <w:rPr>
          <w:i/>
        </w:rPr>
        <w:t xml:space="preserve"> A1.</w:t>
      </w:r>
      <w:r w:rsidR="00DC1455" w:rsidRPr="00C10032">
        <w:rPr>
          <w:i/>
        </w:rPr>
        <w:t>3</w:t>
      </w:r>
      <w:r w:rsidR="00C10032">
        <w:rPr>
          <w:i/>
        </w:rPr>
        <w:t>.</w:t>
      </w:r>
      <w:r w:rsidRPr="00A9372F">
        <w:t xml:space="preserve">  Usual daily intake</w:t>
      </w:r>
      <w:r w:rsidR="00C76348" w:rsidRPr="008E1F35">
        <w:rPr>
          <w:rFonts w:cs="Arial"/>
          <w:vertAlign w:val="superscript"/>
        </w:rPr>
        <w:t>1</w:t>
      </w:r>
      <w:r w:rsidRPr="00A9372F">
        <w:t xml:space="preserve"> of niacin equivalents from foods</w:t>
      </w:r>
      <w:r>
        <w:t xml:space="preserve"> </w:t>
      </w:r>
      <w:r w:rsidR="00DC1455">
        <w:t>New Zealanders aged 15 years and above</w:t>
      </w:r>
      <w:r w:rsidR="00C76348">
        <w:t xml:space="preserve"> (mg/day)</w:t>
      </w:r>
    </w:p>
    <w:tbl>
      <w:tblPr>
        <w:tblStyle w:val="TableGrid"/>
        <w:tblW w:w="0" w:type="auto"/>
        <w:tblInd w:w="-147" w:type="dxa"/>
        <w:tblLayout w:type="fixed"/>
        <w:tblLook w:val="04A0" w:firstRow="1" w:lastRow="0" w:firstColumn="1" w:lastColumn="0" w:noHBand="0" w:noVBand="1"/>
        <w:tblCaption w:val="Usual daily intake of niacin equivalents from foods New Zealanders aged 15 years and above"/>
        <w:tblDescription w:val="Table 1.3 has 7 columns. The first column is the total population by sex, males and females, the second column is by age groups in years. The third column is  the mean niacin equivalents, the fourth, fifth and sixth columns are the respective 10th, median (50th) and 90th percentiles of usual daily intake of niacin equivalents from foods of New Zealanders aged 15 years and above. The last column is the inadequate percentage intake of niacin equivalents"/>
      </w:tblPr>
      <w:tblGrid>
        <w:gridCol w:w="1135"/>
        <w:gridCol w:w="1275"/>
        <w:gridCol w:w="851"/>
        <w:gridCol w:w="992"/>
        <w:gridCol w:w="2268"/>
        <w:gridCol w:w="992"/>
        <w:gridCol w:w="1418"/>
      </w:tblGrid>
      <w:tr w:rsidR="00C4262E" w14:paraId="780E9621" w14:textId="77777777" w:rsidTr="00C10032">
        <w:tc>
          <w:tcPr>
            <w:tcW w:w="2410" w:type="dxa"/>
            <w:gridSpan w:val="2"/>
          </w:tcPr>
          <w:p w14:paraId="130BF382" w14:textId="77777777" w:rsidR="00C4262E" w:rsidRPr="008E1F35" w:rsidRDefault="00C4262E" w:rsidP="00C4262E">
            <w:pPr>
              <w:rPr>
                <w:rFonts w:cs="Arial"/>
                <w:sz w:val="20"/>
                <w:szCs w:val="20"/>
              </w:rPr>
            </w:pPr>
          </w:p>
        </w:tc>
        <w:tc>
          <w:tcPr>
            <w:tcW w:w="851" w:type="dxa"/>
          </w:tcPr>
          <w:p w14:paraId="4C898955" w14:textId="77777777" w:rsidR="00C4262E" w:rsidRPr="002A2011" w:rsidRDefault="00C4262E" w:rsidP="00D81787">
            <w:pPr>
              <w:jc w:val="right"/>
              <w:rPr>
                <w:rFonts w:cs="Arial"/>
                <w:b/>
                <w:sz w:val="20"/>
                <w:szCs w:val="20"/>
              </w:rPr>
            </w:pPr>
            <w:r w:rsidRPr="002A2011">
              <w:rPr>
                <w:rFonts w:cs="Arial"/>
                <w:b/>
                <w:sz w:val="20"/>
                <w:szCs w:val="20"/>
              </w:rPr>
              <w:t>Mean</w:t>
            </w:r>
          </w:p>
        </w:tc>
        <w:tc>
          <w:tcPr>
            <w:tcW w:w="992" w:type="dxa"/>
          </w:tcPr>
          <w:p w14:paraId="53666A2E" w14:textId="77777777" w:rsidR="00C4262E" w:rsidRPr="00C76348" w:rsidRDefault="00C4262E" w:rsidP="00D81787">
            <w:pPr>
              <w:jc w:val="right"/>
              <w:rPr>
                <w:rFonts w:cs="Arial"/>
                <w:b/>
                <w:sz w:val="20"/>
                <w:szCs w:val="20"/>
              </w:rPr>
            </w:pPr>
            <w:r w:rsidRPr="00C76348">
              <w:rPr>
                <w:rFonts w:cs="Arial"/>
                <w:b/>
                <w:sz w:val="20"/>
                <w:szCs w:val="20"/>
              </w:rPr>
              <w:t>10th</w:t>
            </w:r>
          </w:p>
        </w:tc>
        <w:tc>
          <w:tcPr>
            <w:tcW w:w="2268" w:type="dxa"/>
          </w:tcPr>
          <w:p w14:paraId="1B043A8F" w14:textId="2ADC4D1B" w:rsidR="00C4262E" w:rsidRPr="00C76348" w:rsidRDefault="00C4262E" w:rsidP="00D81787">
            <w:pPr>
              <w:jc w:val="right"/>
              <w:rPr>
                <w:rFonts w:cs="Arial"/>
                <w:b/>
                <w:sz w:val="20"/>
                <w:szCs w:val="20"/>
              </w:rPr>
            </w:pPr>
            <w:r w:rsidRPr="00C76348">
              <w:rPr>
                <w:rFonts w:cs="Arial"/>
                <w:b/>
                <w:sz w:val="20"/>
                <w:szCs w:val="20"/>
              </w:rPr>
              <w:t>Median (50th)</w:t>
            </w:r>
            <w:r w:rsidRPr="00C76348">
              <w:rPr>
                <w:rFonts w:cs="Arial"/>
                <w:b/>
                <w:sz w:val="20"/>
                <w:szCs w:val="20"/>
                <w:vertAlign w:val="superscript"/>
              </w:rPr>
              <w:t>2</w:t>
            </w:r>
            <w:r w:rsidRPr="00C76348">
              <w:rPr>
                <w:rFonts w:cs="Arial"/>
                <w:b/>
                <w:sz w:val="20"/>
                <w:szCs w:val="20"/>
              </w:rPr>
              <w:t xml:space="preserve"> </w:t>
            </w:r>
            <w:r w:rsidR="00D81787">
              <w:rPr>
                <w:rFonts w:cs="Arial"/>
                <w:b/>
                <w:sz w:val="20"/>
                <w:szCs w:val="20"/>
              </w:rPr>
              <w:br/>
            </w:r>
            <w:r w:rsidRPr="00C76348">
              <w:rPr>
                <w:rFonts w:cs="Arial"/>
                <w:b/>
                <w:sz w:val="20"/>
                <w:szCs w:val="20"/>
              </w:rPr>
              <w:t>(95% CI)</w:t>
            </w:r>
          </w:p>
        </w:tc>
        <w:tc>
          <w:tcPr>
            <w:tcW w:w="992" w:type="dxa"/>
          </w:tcPr>
          <w:p w14:paraId="0C473D3E" w14:textId="77777777" w:rsidR="00C4262E" w:rsidRPr="00C76348" w:rsidRDefault="00C4262E" w:rsidP="00D81787">
            <w:pPr>
              <w:jc w:val="right"/>
              <w:rPr>
                <w:rFonts w:cs="Arial"/>
                <w:b/>
                <w:sz w:val="20"/>
                <w:szCs w:val="20"/>
              </w:rPr>
            </w:pPr>
            <w:r w:rsidRPr="00C76348">
              <w:rPr>
                <w:rFonts w:cs="Arial"/>
                <w:b/>
                <w:sz w:val="20"/>
                <w:szCs w:val="20"/>
              </w:rPr>
              <w:t>90th</w:t>
            </w:r>
            <w:r w:rsidRPr="00C76348">
              <w:rPr>
                <w:rFonts w:cs="Arial"/>
                <w:b/>
                <w:sz w:val="20"/>
                <w:szCs w:val="20"/>
                <w:vertAlign w:val="superscript"/>
              </w:rPr>
              <w:t>2</w:t>
            </w:r>
          </w:p>
        </w:tc>
        <w:tc>
          <w:tcPr>
            <w:tcW w:w="1418" w:type="dxa"/>
          </w:tcPr>
          <w:p w14:paraId="24053D54" w14:textId="30FEFA6E" w:rsidR="00C4262E" w:rsidRPr="00C76348" w:rsidRDefault="00C4262E" w:rsidP="00D81787">
            <w:pPr>
              <w:jc w:val="right"/>
              <w:rPr>
                <w:rFonts w:cs="Arial"/>
                <w:b/>
                <w:sz w:val="20"/>
                <w:szCs w:val="20"/>
              </w:rPr>
            </w:pPr>
            <w:r w:rsidRPr="00C76348">
              <w:rPr>
                <w:rFonts w:cs="Arial"/>
                <w:b/>
                <w:sz w:val="20"/>
                <w:szCs w:val="20"/>
              </w:rPr>
              <w:t>Inadequate intake (%)</w:t>
            </w:r>
            <w:r w:rsidR="008E1F35" w:rsidRPr="00C76348">
              <w:rPr>
                <w:rFonts w:cs="Arial"/>
                <w:b/>
                <w:sz w:val="20"/>
                <w:szCs w:val="20"/>
                <w:vertAlign w:val="superscript"/>
              </w:rPr>
              <w:t>3</w:t>
            </w:r>
          </w:p>
        </w:tc>
      </w:tr>
      <w:tr w:rsidR="00C4262E" w14:paraId="21BA0E29" w14:textId="77777777" w:rsidTr="00FE6FC6">
        <w:tc>
          <w:tcPr>
            <w:tcW w:w="2410" w:type="dxa"/>
            <w:gridSpan w:val="2"/>
          </w:tcPr>
          <w:p w14:paraId="62A26F4A" w14:textId="6D17C41C" w:rsidR="00C4262E" w:rsidRPr="008E1F35" w:rsidRDefault="00C4262E" w:rsidP="00C4262E">
            <w:pPr>
              <w:rPr>
                <w:rFonts w:cs="Arial"/>
                <w:sz w:val="20"/>
                <w:szCs w:val="20"/>
              </w:rPr>
            </w:pPr>
            <w:r w:rsidRPr="008E1F35">
              <w:rPr>
                <w:rFonts w:cs="Arial"/>
                <w:sz w:val="20"/>
                <w:szCs w:val="20"/>
              </w:rPr>
              <w:t>Total population</w:t>
            </w:r>
            <w:r w:rsidR="00C76348">
              <w:rPr>
                <w:rFonts w:cs="Arial"/>
                <w:sz w:val="20"/>
                <w:szCs w:val="20"/>
              </w:rPr>
              <w:t xml:space="preserve"> 15 years and above</w:t>
            </w:r>
          </w:p>
        </w:tc>
        <w:tc>
          <w:tcPr>
            <w:tcW w:w="851" w:type="dxa"/>
          </w:tcPr>
          <w:p w14:paraId="0C945B1A" w14:textId="77777777" w:rsidR="00C4262E" w:rsidRPr="008E1F35" w:rsidRDefault="00C4262E" w:rsidP="00D81787">
            <w:pPr>
              <w:jc w:val="right"/>
              <w:rPr>
                <w:rFonts w:cs="Arial"/>
                <w:sz w:val="20"/>
                <w:szCs w:val="20"/>
              </w:rPr>
            </w:pPr>
            <w:r w:rsidRPr="008E1F35">
              <w:rPr>
                <w:rFonts w:cs="Arial"/>
                <w:sz w:val="20"/>
                <w:szCs w:val="20"/>
              </w:rPr>
              <w:t>36.9</w:t>
            </w:r>
          </w:p>
        </w:tc>
        <w:tc>
          <w:tcPr>
            <w:tcW w:w="992" w:type="dxa"/>
          </w:tcPr>
          <w:p w14:paraId="3277B988" w14:textId="77777777" w:rsidR="00C4262E" w:rsidRPr="008E1F35" w:rsidRDefault="00C4262E" w:rsidP="00D81787">
            <w:pPr>
              <w:jc w:val="right"/>
              <w:rPr>
                <w:rFonts w:cs="Arial"/>
                <w:sz w:val="20"/>
                <w:szCs w:val="20"/>
              </w:rPr>
            </w:pPr>
            <w:r w:rsidRPr="008E1F35">
              <w:rPr>
                <w:rFonts w:cs="Arial"/>
                <w:sz w:val="20"/>
                <w:szCs w:val="20"/>
              </w:rPr>
              <w:t>23.1</w:t>
            </w:r>
          </w:p>
        </w:tc>
        <w:tc>
          <w:tcPr>
            <w:tcW w:w="2268" w:type="dxa"/>
          </w:tcPr>
          <w:p w14:paraId="36155C04" w14:textId="77777777" w:rsidR="00C4262E" w:rsidRPr="008E1F35" w:rsidRDefault="00C4262E" w:rsidP="00D81787">
            <w:pPr>
              <w:jc w:val="right"/>
              <w:rPr>
                <w:rFonts w:cs="Arial"/>
                <w:sz w:val="20"/>
                <w:szCs w:val="20"/>
              </w:rPr>
            </w:pPr>
            <w:r w:rsidRPr="008E1F35">
              <w:rPr>
                <w:rFonts w:cs="Arial"/>
                <w:sz w:val="20"/>
                <w:szCs w:val="20"/>
              </w:rPr>
              <w:t>34.7 (33.5–35.9)</w:t>
            </w:r>
          </w:p>
        </w:tc>
        <w:tc>
          <w:tcPr>
            <w:tcW w:w="992" w:type="dxa"/>
          </w:tcPr>
          <w:p w14:paraId="6C77D579" w14:textId="77777777" w:rsidR="00C4262E" w:rsidRPr="008E1F35" w:rsidRDefault="00C4262E" w:rsidP="00D81787">
            <w:pPr>
              <w:jc w:val="right"/>
              <w:rPr>
                <w:rFonts w:cs="Arial"/>
                <w:sz w:val="20"/>
                <w:szCs w:val="20"/>
              </w:rPr>
            </w:pPr>
            <w:r w:rsidRPr="008E1F35">
              <w:rPr>
                <w:rFonts w:cs="Arial"/>
                <w:sz w:val="20"/>
                <w:szCs w:val="20"/>
              </w:rPr>
              <w:t>53.3</w:t>
            </w:r>
          </w:p>
        </w:tc>
        <w:tc>
          <w:tcPr>
            <w:tcW w:w="1418" w:type="dxa"/>
          </w:tcPr>
          <w:p w14:paraId="4C4582DC" w14:textId="77777777" w:rsidR="00C4262E" w:rsidRPr="008E1F35" w:rsidRDefault="00C4262E" w:rsidP="00D81787">
            <w:pPr>
              <w:jc w:val="right"/>
              <w:rPr>
                <w:rFonts w:cs="Arial"/>
                <w:sz w:val="20"/>
                <w:szCs w:val="20"/>
              </w:rPr>
            </w:pPr>
            <w:r w:rsidRPr="008E1F35">
              <w:rPr>
                <w:rFonts w:cs="Arial"/>
                <w:sz w:val="20"/>
                <w:szCs w:val="20"/>
              </w:rPr>
              <w:t>0.0</w:t>
            </w:r>
          </w:p>
        </w:tc>
      </w:tr>
      <w:tr w:rsidR="00C4262E" w14:paraId="0CEDA62F" w14:textId="77777777" w:rsidTr="00FE6FC6">
        <w:tc>
          <w:tcPr>
            <w:tcW w:w="2410" w:type="dxa"/>
            <w:gridSpan w:val="2"/>
          </w:tcPr>
          <w:p w14:paraId="79BE055F" w14:textId="445DC398" w:rsidR="00C4262E" w:rsidRPr="008E1F35" w:rsidRDefault="00C4262E" w:rsidP="00C4262E">
            <w:pPr>
              <w:rPr>
                <w:rFonts w:cs="Arial"/>
                <w:sz w:val="20"/>
                <w:szCs w:val="20"/>
              </w:rPr>
            </w:pPr>
            <w:r w:rsidRPr="008E1F35">
              <w:rPr>
                <w:rFonts w:cs="Arial"/>
                <w:sz w:val="20"/>
                <w:szCs w:val="20"/>
              </w:rPr>
              <w:t xml:space="preserve">By </w:t>
            </w:r>
            <w:r w:rsidR="00C76348">
              <w:rPr>
                <w:rFonts w:cs="Arial"/>
                <w:sz w:val="20"/>
                <w:szCs w:val="20"/>
              </w:rPr>
              <w:t xml:space="preserve">sex and </w:t>
            </w:r>
            <w:r w:rsidRPr="008E1F35">
              <w:rPr>
                <w:rFonts w:cs="Arial"/>
                <w:sz w:val="20"/>
                <w:szCs w:val="20"/>
              </w:rPr>
              <w:t>age group (years)</w:t>
            </w:r>
          </w:p>
        </w:tc>
        <w:tc>
          <w:tcPr>
            <w:tcW w:w="851" w:type="dxa"/>
          </w:tcPr>
          <w:p w14:paraId="09E0FC7C" w14:textId="77777777" w:rsidR="00C4262E" w:rsidRPr="008E1F35" w:rsidRDefault="00C4262E" w:rsidP="00D81787">
            <w:pPr>
              <w:jc w:val="right"/>
              <w:rPr>
                <w:rFonts w:cs="Arial"/>
                <w:sz w:val="20"/>
                <w:szCs w:val="20"/>
              </w:rPr>
            </w:pPr>
          </w:p>
        </w:tc>
        <w:tc>
          <w:tcPr>
            <w:tcW w:w="992" w:type="dxa"/>
          </w:tcPr>
          <w:p w14:paraId="1742D4FA" w14:textId="77777777" w:rsidR="00C4262E" w:rsidRPr="008E1F35" w:rsidRDefault="00C4262E" w:rsidP="00D81787">
            <w:pPr>
              <w:jc w:val="right"/>
              <w:rPr>
                <w:rFonts w:cs="Arial"/>
                <w:sz w:val="20"/>
                <w:szCs w:val="20"/>
              </w:rPr>
            </w:pPr>
          </w:p>
        </w:tc>
        <w:tc>
          <w:tcPr>
            <w:tcW w:w="2268" w:type="dxa"/>
          </w:tcPr>
          <w:p w14:paraId="79F12993" w14:textId="77777777" w:rsidR="00C4262E" w:rsidRPr="008E1F35" w:rsidRDefault="00C4262E" w:rsidP="00D81787">
            <w:pPr>
              <w:jc w:val="right"/>
              <w:rPr>
                <w:rFonts w:cs="Arial"/>
                <w:sz w:val="20"/>
                <w:szCs w:val="20"/>
              </w:rPr>
            </w:pPr>
          </w:p>
        </w:tc>
        <w:tc>
          <w:tcPr>
            <w:tcW w:w="992" w:type="dxa"/>
          </w:tcPr>
          <w:p w14:paraId="33D4D36E" w14:textId="77777777" w:rsidR="00C4262E" w:rsidRPr="008E1F35" w:rsidRDefault="00C4262E" w:rsidP="00D81787">
            <w:pPr>
              <w:jc w:val="right"/>
              <w:rPr>
                <w:rFonts w:cs="Arial"/>
                <w:sz w:val="20"/>
                <w:szCs w:val="20"/>
              </w:rPr>
            </w:pPr>
          </w:p>
        </w:tc>
        <w:tc>
          <w:tcPr>
            <w:tcW w:w="1418" w:type="dxa"/>
          </w:tcPr>
          <w:p w14:paraId="06BFF383" w14:textId="77777777" w:rsidR="00C4262E" w:rsidRPr="008E1F35" w:rsidRDefault="00C4262E" w:rsidP="00D81787">
            <w:pPr>
              <w:jc w:val="right"/>
              <w:rPr>
                <w:rFonts w:cs="Arial"/>
                <w:sz w:val="20"/>
                <w:szCs w:val="20"/>
              </w:rPr>
            </w:pPr>
          </w:p>
        </w:tc>
      </w:tr>
      <w:tr w:rsidR="00C4262E" w14:paraId="350E71D3" w14:textId="77777777" w:rsidTr="00C4262E">
        <w:tc>
          <w:tcPr>
            <w:tcW w:w="1135" w:type="dxa"/>
          </w:tcPr>
          <w:p w14:paraId="140D1864" w14:textId="77777777" w:rsidR="00C4262E" w:rsidRPr="008E1F35" w:rsidRDefault="00C4262E" w:rsidP="00C4262E">
            <w:pPr>
              <w:rPr>
                <w:rFonts w:cs="Arial"/>
                <w:sz w:val="20"/>
                <w:szCs w:val="20"/>
              </w:rPr>
            </w:pPr>
            <w:r w:rsidRPr="008E1F35">
              <w:rPr>
                <w:rFonts w:cs="Arial"/>
                <w:sz w:val="20"/>
                <w:szCs w:val="20"/>
              </w:rPr>
              <w:t>Males</w:t>
            </w:r>
          </w:p>
        </w:tc>
        <w:tc>
          <w:tcPr>
            <w:tcW w:w="1275" w:type="dxa"/>
          </w:tcPr>
          <w:p w14:paraId="556D7A76" w14:textId="77777777" w:rsidR="00C4262E" w:rsidRPr="008E1F35" w:rsidRDefault="00C4262E" w:rsidP="00C4262E">
            <w:pPr>
              <w:rPr>
                <w:rFonts w:cs="Arial"/>
                <w:sz w:val="20"/>
                <w:szCs w:val="20"/>
              </w:rPr>
            </w:pPr>
            <w:r w:rsidRPr="008E1F35">
              <w:rPr>
                <w:rFonts w:cs="Arial"/>
                <w:sz w:val="20"/>
                <w:szCs w:val="20"/>
              </w:rPr>
              <w:t>15–18</w:t>
            </w:r>
          </w:p>
        </w:tc>
        <w:tc>
          <w:tcPr>
            <w:tcW w:w="851" w:type="dxa"/>
          </w:tcPr>
          <w:p w14:paraId="63FFDB4E" w14:textId="77777777" w:rsidR="00C4262E" w:rsidRPr="008E1F35" w:rsidRDefault="00C4262E" w:rsidP="00D81787">
            <w:pPr>
              <w:jc w:val="right"/>
              <w:rPr>
                <w:rFonts w:cs="Arial"/>
                <w:sz w:val="20"/>
                <w:szCs w:val="20"/>
              </w:rPr>
            </w:pPr>
            <w:r w:rsidRPr="008E1F35">
              <w:rPr>
                <w:rFonts w:cs="Arial"/>
                <w:sz w:val="20"/>
                <w:szCs w:val="20"/>
              </w:rPr>
              <w:t>46.1</w:t>
            </w:r>
          </w:p>
        </w:tc>
        <w:tc>
          <w:tcPr>
            <w:tcW w:w="992" w:type="dxa"/>
          </w:tcPr>
          <w:p w14:paraId="698D2264" w14:textId="77777777" w:rsidR="00C4262E" w:rsidRPr="008E1F35" w:rsidRDefault="00C4262E" w:rsidP="00D81787">
            <w:pPr>
              <w:jc w:val="right"/>
              <w:rPr>
                <w:rFonts w:cs="Arial"/>
                <w:sz w:val="20"/>
                <w:szCs w:val="20"/>
              </w:rPr>
            </w:pPr>
            <w:r w:rsidRPr="008E1F35">
              <w:rPr>
                <w:rFonts w:cs="Arial"/>
                <w:sz w:val="20"/>
                <w:szCs w:val="20"/>
              </w:rPr>
              <w:t>38.3</w:t>
            </w:r>
          </w:p>
        </w:tc>
        <w:tc>
          <w:tcPr>
            <w:tcW w:w="2268" w:type="dxa"/>
          </w:tcPr>
          <w:p w14:paraId="666D351C" w14:textId="77777777" w:rsidR="00C4262E" w:rsidRPr="008E1F35" w:rsidRDefault="00C4262E" w:rsidP="00D81787">
            <w:pPr>
              <w:jc w:val="right"/>
              <w:rPr>
                <w:rFonts w:cs="Arial"/>
                <w:sz w:val="20"/>
                <w:szCs w:val="20"/>
              </w:rPr>
            </w:pPr>
            <w:r w:rsidRPr="008E1F35">
              <w:rPr>
                <w:rFonts w:cs="Arial"/>
                <w:sz w:val="20"/>
                <w:szCs w:val="20"/>
              </w:rPr>
              <w:t>45.7 (41.7–49.7)</w:t>
            </w:r>
          </w:p>
        </w:tc>
        <w:tc>
          <w:tcPr>
            <w:tcW w:w="992" w:type="dxa"/>
          </w:tcPr>
          <w:p w14:paraId="069B6AC3" w14:textId="77777777" w:rsidR="00C4262E" w:rsidRPr="008E1F35" w:rsidRDefault="00C4262E" w:rsidP="00D81787">
            <w:pPr>
              <w:jc w:val="right"/>
              <w:rPr>
                <w:rFonts w:cs="Arial"/>
                <w:sz w:val="20"/>
                <w:szCs w:val="20"/>
              </w:rPr>
            </w:pPr>
            <w:r w:rsidRPr="008E1F35">
              <w:rPr>
                <w:rFonts w:cs="Arial"/>
                <w:sz w:val="20"/>
                <w:szCs w:val="20"/>
              </w:rPr>
              <w:t>54.6</w:t>
            </w:r>
          </w:p>
        </w:tc>
        <w:tc>
          <w:tcPr>
            <w:tcW w:w="1418" w:type="dxa"/>
          </w:tcPr>
          <w:p w14:paraId="135B6A6C" w14:textId="77777777" w:rsidR="00C4262E" w:rsidRPr="008E1F35" w:rsidRDefault="00C4262E" w:rsidP="00D81787">
            <w:pPr>
              <w:jc w:val="right"/>
              <w:rPr>
                <w:rFonts w:cs="Arial"/>
                <w:sz w:val="20"/>
                <w:szCs w:val="20"/>
              </w:rPr>
            </w:pPr>
            <w:r w:rsidRPr="008E1F35">
              <w:rPr>
                <w:rFonts w:cs="Arial"/>
                <w:sz w:val="20"/>
                <w:szCs w:val="20"/>
              </w:rPr>
              <w:t>0.0</w:t>
            </w:r>
          </w:p>
        </w:tc>
      </w:tr>
      <w:tr w:rsidR="00C4262E" w14:paraId="25D8C182" w14:textId="77777777" w:rsidTr="00C4262E">
        <w:tc>
          <w:tcPr>
            <w:tcW w:w="1135" w:type="dxa"/>
          </w:tcPr>
          <w:p w14:paraId="06317529" w14:textId="77777777" w:rsidR="00C4262E" w:rsidRPr="008E1F35" w:rsidRDefault="00C4262E" w:rsidP="00C4262E">
            <w:pPr>
              <w:rPr>
                <w:rFonts w:cs="Arial"/>
                <w:sz w:val="20"/>
                <w:szCs w:val="20"/>
              </w:rPr>
            </w:pPr>
          </w:p>
        </w:tc>
        <w:tc>
          <w:tcPr>
            <w:tcW w:w="1275" w:type="dxa"/>
          </w:tcPr>
          <w:p w14:paraId="326860A4" w14:textId="77777777" w:rsidR="00C4262E" w:rsidRPr="008E1F35" w:rsidRDefault="00C4262E" w:rsidP="00C4262E">
            <w:pPr>
              <w:rPr>
                <w:rFonts w:cs="Arial"/>
                <w:sz w:val="20"/>
                <w:szCs w:val="20"/>
              </w:rPr>
            </w:pPr>
            <w:r w:rsidRPr="008E1F35">
              <w:rPr>
                <w:rFonts w:cs="Arial"/>
                <w:sz w:val="20"/>
                <w:szCs w:val="20"/>
              </w:rPr>
              <w:t>19–30</w:t>
            </w:r>
          </w:p>
        </w:tc>
        <w:tc>
          <w:tcPr>
            <w:tcW w:w="851" w:type="dxa"/>
          </w:tcPr>
          <w:p w14:paraId="695036A3" w14:textId="77777777" w:rsidR="00C4262E" w:rsidRPr="008E1F35" w:rsidRDefault="00C4262E" w:rsidP="00D81787">
            <w:pPr>
              <w:jc w:val="right"/>
              <w:rPr>
                <w:rFonts w:cs="Arial"/>
                <w:sz w:val="20"/>
                <w:szCs w:val="20"/>
              </w:rPr>
            </w:pPr>
            <w:r w:rsidRPr="008E1F35">
              <w:rPr>
                <w:rFonts w:cs="Arial"/>
                <w:sz w:val="20"/>
                <w:szCs w:val="20"/>
              </w:rPr>
              <w:t>50.6</w:t>
            </w:r>
          </w:p>
        </w:tc>
        <w:tc>
          <w:tcPr>
            <w:tcW w:w="992" w:type="dxa"/>
          </w:tcPr>
          <w:p w14:paraId="454CFADC" w14:textId="77777777" w:rsidR="00C4262E" w:rsidRPr="008E1F35" w:rsidRDefault="00C4262E" w:rsidP="00D81787">
            <w:pPr>
              <w:jc w:val="right"/>
              <w:rPr>
                <w:rFonts w:cs="Arial"/>
                <w:sz w:val="20"/>
                <w:szCs w:val="20"/>
              </w:rPr>
            </w:pPr>
            <w:r w:rsidRPr="008E1F35">
              <w:rPr>
                <w:rFonts w:cs="Arial"/>
                <w:sz w:val="20"/>
                <w:szCs w:val="20"/>
              </w:rPr>
              <w:t>31.2</w:t>
            </w:r>
          </w:p>
        </w:tc>
        <w:tc>
          <w:tcPr>
            <w:tcW w:w="2268" w:type="dxa"/>
          </w:tcPr>
          <w:p w14:paraId="35409620" w14:textId="77777777" w:rsidR="00C4262E" w:rsidRPr="008E1F35" w:rsidRDefault="00C4262E" w:rsidP="00D81787">
            <w:pPr>
              <w:jc w:val="right"/>
              <w:rPr>
                <w:rFonts w:cs="Arial"/>
                <w:sz w:val="20"/>
                <w:szCs w:val="20"/>
              </w:rPr>
            </w:pPr>
            <w:r w:rsidRPr="008E1F35">
              <w:rPr>
                <w:rFonts w:cs="Arial"/>
                <w:sz w:val="20"/>
                <w:szCs w:val="20"/>
              </w:rPr>
              <w:t>47.4 (41.9–52.9)</w:t>
            </w:r>
          </w:p>
        </w:tc>
        <w:tc>
          <w:tcPr>
            <w:tcW w:w="992" w:type="dxa"/>
          </w:tcPr>
          <w:p w14:paraId="09CC190D" w14:textId="77777777" w:rsidR="00C4262E" w:rsidRPr="008E1F35" w:rsidRDefault="00C4262E" w:rsidP="00D81787">
            <w:pPr>
              <w:jc w:val="right"/>
              <w:rPr>
                <w:rFonts w:cs="Arial"/>
                <w:sz w:val="20"/>
                <w:szCs w:val="20"/>
              </w:rPr>
            </w:pPr>
            <w:r w:rsidRPr="008E1F35">
              <w:rPr>
                <w:rFonts w:cs="Arial"/>
                <w:sz w:val="20"/>
                <w:szCs w:val="20"/>
              </w:rPr>
              <w:t>74.0</w:t>
            </w:r>
          </w:p>
        </w:tc>
        <w:tc>
          <w:tcPr>
            <w:tcW w:w="1418" w:type="dxa"/>
          </w:tcPr>
          <w:p w14:paraId="75E9CFE0" w14:textId="77777777" w:rsidR="00C4262E" w:rsidRPr="008E1F35" w:rsidRDefault="00C4262E" w:rsidP="00D81787">
            <w:pPr>
              <w:jc w:val="right"/>
              <w:rPr>
                <w:rFonts w:cs="Arial"/>
                <w:sz w:val="20"/>
                <w:szCs w:val="20"/>
              </w:rPr>
            </w:pPr>
            <w:r w:rsidRPr="008E1F35">
              <w:rPr>
                <w:rFonts w:cs="Arial"/>
                <w:sz w:val="20"/>
                <w:szCs w:val="20"/>
              </w:rPr>
              <w:t>0.0</w:t>
            </w:r>
          </w:p>
        </w:tc>
      </w:tr>
      <w:tr w:rsidR="00C4262E" w14:paraId="1A8EA902" w14:textId="77777777" w:rsidTr="00C4262E">
        <w:tc>
          <w:tcPr>
            <w:tcW w:w="1135" w:type="dxa"/>
          </w:tcPr>
          <w:p w14:paraId="078458E5" w14:textId="77777777" w:rsidR="00C4262E" w:rsidRPr="008E1F35" w:rsidRDefault="00C4262E" w:rsidP="00C4262E">
            <w:pPr>
              <w:rPr>
                <w:rFonts w:cs="Arial"/>
                <w:sz w:val="20"/>
                <w:szCs w:val="20"/>
              </w:rPr>
            </w:pPr>
          </w:p>
        </w:tc>
        <w:tc>
          <w:tcPr>
            <w:tcW w:w="1275" w:type="dxa"/>
          </w:tcPr>
          <w:p w14:paraId="7B52F34C" w14:textId="77777777" w:rsidR="00C4262E" w:rsidRPr="008E1F35" w:rsidRDefault="00C4262E" w:rsidP="00C4262E">
            <w:pPr>
              <w:rPr>
                <w:rFonts w:cs="Arial"/>
                <w:sz w:val="20"/>
                <w:szCs w:val="20"/>
              </w:rPr>
            </w:pPr>
            <w:r w:rsidRPr="008E1F35">
              <w:rPr>
                <w:rFonts w:cs="Arial"/>
                <w:sz w:val="20"/>
                <w:szCs w:val="20"/>
              </w:rPr>
              <w:t>31–50</w:t>
            </w:r>
          </w:p>
        </w:tc>
        <w:tc>
          <w:tcPr>
            <w:tcW w:w="851" w:type="dxa"/>
          </w:tcPr>
          <w:p w14:paraId="384CADF6" w14:textId="77777777" w:rsidR="00C4262E" w:rsidRPr="008E1F35" w:rsidRDefault="00C4262E" w:rsidP="00D81787">
            <w:pPr>
              <w:jc w:val="right"/>
              <w:rPr>
                <w:rFonts w:cs="Arial"/>
                <w:sz w:val="20"/>
                <w:szCs w:val="20"/>
              </w:rPr>
            </w:pPr>
            <w:r w:rsidRPr="008E1F35">
              <w:rPr>
                <w:rFonts w:cs="Arial"/>
                <w:sz w:val="20"/>
                <w:szCs w:val="20"/>
              </w:rPr>
              <w:t>46.7</w:t>
            </w:r>
          </w:p>
        </w:tc>
        <w:tc>
          <w:tcPr>
            <w:tcW w:w="992" w:type="dxa"/>
          </w:tcPr>
          <w:p w14:paraId="70BA79E0" w14:textId="77777777" w:rsidR="00C4262E" w:rsidRPr="008E1F35" w:rsidRDefault="00C4262E" w:rsidP="00D81787">
            <w:pPr>
              <w:jc w:val="right"/>
              <w:rPr>
                <w:rFonts w:cs="Arial"/>
                <w:sz w:val="20"/>
                <w:szCs w:val="20"/>
              </w:rPr>
            </w:pPr>
            <w:r w:rsidRPr="008E1F35">
              <w:rPr>
                <w:rFonts w:cs="Arial"/>
                <w:sz w:val="20"/>
                <w:szCs w:val="20"/>
              </w:rPr>
              <w:t>36.1</w:t>
            </w:r>
          </w:p>
        </w:tc>
        <w:tc>
          <w:tcPr>
            <w:tcW w:w="2268" w:type="dxa"/>
          </w:tcPr>
          <w:p w14:paraId="3CE27977" w14:textId="77777777" w:rsidR="00C4262E" w:rsidRPr="008E1F35" w:rsidRDefault="00C4262E" w:rsidP="00D81787">
            <w:pPr>
              <w:jc w:val="right"/>
              <w:rPr>
                <w:rFonts w:cs="Arial"/>
                <w:sz w:val="20"/>
                <w:szCs w:val="20"/>
              </w:rPr>
            </w:pPr>
            <w:r w:rsidRPr="008E1F35">
              <w:rPr>
                <w:rFonts w:cs="Arial"/>
                <w:sz w:val="20"/>
                <w:szCs w:val="20"/>
              </w:rPr>
              <w:t>45.8 (42.2–49.4)</w:t>
            </w:r>
          </w:p>
        </w:tc>
        <w:tc>
          <w:tcPr>
            <w:tcW w:w="992" w:type="dxa"/>
          </w:tcPr>
          <w:p w14:paraId="575AA412" w14:textId="77777777" w:rsidR="00C4262E" w:rsidRPr="008E1F35" w:rsidRDefault="00C4262E" w:rsidP="00D81787">
            <w:pPr>
              <w:jc w:val="right"/>
              <w:rPr>
                <w:rFonts w:cs="Arial"/>
                <w:sz w:val="20"/>
                <w:szCs w:val="20"/>
              </w:rPr>
            </w:pPr>
            <w:r w:rsidRPr="008E1F35">
              <w:rPr>
                <w:rFonts w:cs="Arial"/>
                <w:sz w:val="20"/>
                <w:szCs w:val="20"/>
              </w:rPr>
              <w:t>58.4</w:t>
            </w:r>
          </w:p>
        </w:tc>
        <w:tc>
          <w:tcPr>
            <w:tcW w:w="1418" w:type="dxa"/>
          </w:tcPr>
          <w:p w14:paraId="4B551836" w14:textId="77777777" w:rsidR="00C4262E" w:rsidRPr="008E1F35" w:rsidRDefault="00C4262E" w:rsidP="00D81787">
            <w:pPr>
              <w:jc w:val="right"/>
              <w:rPr>
                <w:rFonts w:cs="Arial"/>
                <w:sz w:val="20"/>
                <w:szCs w:val="20"/>
              </w:rPr>
            </w:pPr>
            <w:r w:rsidRPr="008E1F35">
              <w:rPr>
                <w:rFonts w:cs="Arial"/>
                <w:sz w:val="20"/>
                <w:szCs w:val="20"/>
              </w:rPr>
              <w:t>0.0</w:t>
            </w:r>
          </w:p>
        </w:tc>
      </w:tr>
      <w:tr w:rsidR="00C4262E" w14:paraId="39EA5904" w14:textId="77777777" w:rsidTr="00FE6FC6">
        <w:tc>
          <w:tcPr>
            <w:tcW w:w="1135" w:type="dxa"/>
          </w:tcPr>
          <w:p w14:paraId="6DF67FF3" w14:textId="77777777" w:rsidR="00C4262E" w:rsidRPr="008E1F35" w:rsidRDefault="00C4262E" w:rsidP="00C4262E">
            <w:pPr>
              <w:rPr>
                <w:rFonts w:cs="Arial"/>
                <w:sz w:val="20"/>
                <w:szCs w:val="20"/>
              </w:rPr>
            </w:pPr>
          </w:p>
        </w:tc>
        <w:tc>
          <w:tcPr>
            <w:tcW w:w="1275" w:type="dxa"/>
          </w:tcPr>
          <w:p w14:paraId="24977F65" w14:textId="77777777" w:rsidR="00C4262E" w:rsidRPr="008E1F35" w:rsidRDefault="00C4262E" w:rsidP="00C4262E">
            <w:pPr>
              <w:rPr>
                <w:rFonts w:cs="Arial"/>
                <w:sz w:val="20"/>
                <w:szCs w:val="20"/>
              </w:rPr>
            </w:pPr>
            <w:r w:rsidRPr="008E1F35">
              <w:rPr>
                <w:rFonts w:cs="Arial"/>
                <w:sz w:val="20"/>
                <w:szCs w:val="20"/>
              </w:rPr>
              <w:t>51–70</w:t>
            </w:r>
          </w:p>
        </w:tc>
        <w:tc>
          <w:tcPr>
            <w:tcW w:w="851" w:type="dxa"/>
          </w:tcPr>
          <w:p w14:paraId="62FF11BE" w14:textId="77777777" w:rsidR="00C4262E" w:rsidRPr="008E1F35" w:rsidRDefault="00C4262E" w:rsidP="00D81787">
            <w:pPr>
              <w:jc w:val="right"/>
              <w:rPr>
                <w:rFonts w:cs="Arial"/>
                <w:sz w:val="20"/>
                <w:szCs w:val="20"/>
              </w:rPr>
            </w:pPr>
            <w:r w:rsidRPr="008E1F35">
              <w:rPr>
                <w:rFonts w:cs="Arial"/>
                <w:sz w:val="20"/>
                <w:szCs w:val="20"/>
              </w:rPr>
              <w:t>39.0</w:t>
            </w:r>
          </w:p>
        </w:tc>
        <w:tc>
          <w:tcPr>
            <w:tcW w:w="992" w:type="dxa"/>
          </w:tcPr>
          <w:p w14:paraId="6E588DDF" w14:textId="77777777" w:rsidR="00C4262E" w:rsidRPr="008E1F35" w:rsidRDefault="00C4262E" w:rsidP="00D81787">
            <w:pPr>
              <w:jc w:val="right"/>
              <w:rPr>
                <w:rFonts w:cs="Arial"/>
                <w:sz w:val="20"/>
                <w:szCs w:val="20"/>
              </w:rPr>
            </w:pPr>
            <w:r w:rsidRPr="008E1F35">
              <w:rPr>
                <w:rFonts w:cs="Arial"/>
                <w:sz w:val="20"/>
                <w:szCs w:val="20"/>
              </w:rPr>
              <w:t>24.6</w:t>
            </w:r>
          </w:p>
        </w:tc>
        <w:tc>
          <w:tcPr>
            <w:tcW w:w="2268" w:type="dxa"/>
          </w:tcPr>
          <w:p w14:paraId="56479AC6" w14:textId="77777777" w:rsidR="00C4262E" w:rsidRPr="008E1F35" w:rsidRDefault="00C4262E" w:rsidP="00D81787">
            <w:pPr>
              <w:jc w:val="right"/>
              <w:rPr>
                <w:rFonts w:cs="Arial"/>
                <w:sz w:val="20"/>
                <w:szCs w:val="20"/>
              </w:rPr>
            </w:pPr>
            <w:r w:rsidRPr="008E1F35">
              <w:rPr>
                <w:rFonts w:cs="Arial"/>
                <w:sz w:val="20"/>
                <w:szCs w:val="20"/>
              </w:rPr>
              <w:t>36.6 (34.0–39.2)</w:t>
            </w:r>
          </w:p>
        </w:tc>
        <w:tc>
          <w:tcPr>
            <w:tcW w:w="992" w:type="dxa"/>
          </w:tcPr>
          <w:p w14:paraId="14097406" w14:textId="77777777" w:rsidR="00C4262E" w:rsidRPr="008E1F35" w:rsidRDefault="00C4262E" w:rsidP="00D81787">
            <w:pPr>
              <w:jc w:val="right"/>
              <w:rPr>
                <w:rFonts w:cs="Arial"/>
                <w:sz w:val="20"/>
                <w:szCs w:val="20"/>
              </w:rPr>
            </w:pPr>
            <w:r w:rsidRPr="008E1F35">
              <w:rPr>
                <w:rFonts w:cs="Arial"/>
                <w:sz w:val="20"/>
                <w:szCs w:val="20"/>
              </w:rPr>
              <w:t>56.1</w:t>
            </w:r>
          </w:p>
        </w:tc>
        <w:tc>
          <w:tcPr>
            <w:tcW w:w="1418" w:type="dxa"/>
          </w:tcPr>
          <w:p w14:paraId="49B4D8B4" w14:textId="77777777" w:rsidR="00C4262E" w:rsidRPr="008E1F35" w:rsidRDefault="00C4262E" w:rsidP="00D81787">
            <w:pPr>
              <w:jc w:val="right"/>
              <w:rPr>
                <w:rFonts w:cs="Arial"/>
                <w:sz w:val="20"/>
                <w:szCs w:val="20"/>
              </w:rPr>
            </w:pPr>
            <w:r w:rsidRPr="008E1F35">
              <w:rPr>
                <w:rFonts w:cs="Arial"/>
                <w:sz w:val="20"/>
                <w:szCs w:val="20"/>
              </w:rPr>
              <w:t>0.1</w:t>
            </w:r>
          </w:p>
        </w:tc>
      </w:tr>
      <w:tr w:rsidR="00C4262E" w14:paraId="0FD2B421" w14:textId="77777777" w:rsidTr="00FE6FC6">
        <w:tc>
          <w:tcPr>
            <w:tcW w:w="1135" w:type="dxa"/>
          </w:tcPr>
          <w:p w14:paraId="6E65D04F" w14:textId="77777777" w:rsidR="00C4262E" w:rsidRPr="008E1F35" w:rsidRDefault="00C4262E" w:rsidP="00C4262E">
            <w:pPr>
              <w:rPr>
                <w:rFonts w:cs="Arial"/>
                <w:sz w:val="20"/>
                <w:szCs w:val="20"/>
              </w:rPr>
            </w:pPr>
          </w:p>
        </w:tc>
        <w:tc>
          <w:tcPr>
            <w:tcW w:w="1275" w:type="dxa"/>
          </w:tcPr>
          <w:p w14:paraId="52F54914" w14:textId="77777777" w:rsidR="00C4262E" w:rsidRPr="008E1F35" w:rsidRDefault="00C4262E" w:rsidP="00C4262E">
            <w:pPr>
              <w:rPr>
                <w:rFonts w:cs="Arial"/>
                <w:sz w:val="20"/>
                <w:szCs w:val="20"/>
              </w:rPr>
            </w:pPr>
            <w:r w:rsidRPr="008E1F35">
              <w:rPr>
                <w:rFonts w:cs="Arial"/>
                <w:sz w:val="20"/>
                <w:szCs w:val="20"/>
              </w:rPr>
              <w:t>71+</w:t>
            </w:r>
          </w:p>
        </w:tc>
        <w:tc>
          <w:tcPr>
            <w:tcW w:w="851" w:type="dxa"/>
          </w:tcPr>
          <w:p w14:paraId="27017123" w14:textId="77777777" w:rsidR="00C4262E" w:rsidRPr="008E1F35" w:rsidRDefault="00C4262E" w:rsidP="00D81787">
            <w:pPr>
              <w:jc w:val="right"/>
              <w:rPr>
                <w:rFonts w:cs="Arial"/>
                <w:sz w:val="20"/>
                <w:szCs w:val="20"/>
              </w:rPr>
            </w:pPr>
            <w:r w:rsidRPr="008E1F35">
              <w:rPr>
                <w:rFonts w:cs="Arial"/>
                <w:sz w:val="20"/>
                <w:szCs w:val="20"/>
              </w:rPr>
              <w:t>32.0</w:t>
            </w:r>
          </w:p>
        </w:tc>
        <w:tc>
          <w:tcPr>
            <w:tcW w:w="992" w:type="dxa"/>
          </w:tcPr>
          <w:p w14:paraId="7D5E22A1" w14:textId="77777777" w:rsidR="00C4262E" w:rsidRPr="008E1F35" w:rsidRDefault="00C4262E" w:rsidP="00D81787">
            <w:pPr>
              <w:jc w:val="right"/>
              <w:rPr>
                <w:rFonts w:cs="Arial"/>
                <w:sz w:val="20"/>
                <w:szCs w:val="20"/>
              </w:rPr>
            </w:pPr>
            <w:r w:rsidRPr="008E1F35">
              <w:rPr>
                <w:rFonts w:cs="Arial"/>
                <w:sz w:val="20"/>
                <w:szCs w:val="20"/>
              </w:rPr>
              <w:t>24.1</w:t>
            </w:r>
          </w:p>
        </w:tc>
        <w:tc>
          <w:tcPr>
            <w:tcW w:w="2268" w:type="dxa"/>
          </w:tcPr>
          <w:p w14:paraId="1F636F4E" w14:textId="77777777" w:rsidR="00C4262E" w:rsidRPr="008E1F35" w:rsidRDefault="00C4262E" w:rsidP="00D81787">
            <w:pPr>
              <w:jc w:val="right"/>
              <w:rPr>
                <w:rFonts w:cs="Arial"/>
                <w:sz w:val="20"/>
                <w:szCs w:val="20"/>
              </w:rPr>
            </w:pPr>
            <w:r w:rsidRPr="008E1F35">
              <w:rPr>
                <w:rFonts w:cs="Arial"/>
                <w:sz w:val="20"/>
                <w:szCs w:val="20"/>
              </w:rPr>
              <w:t>31.4 (29.8–33.0)</w:t>
            </w:r>
          </w:p>
        </w:tc>
        <w:tc>
          <w:tcPr>
            <w:tcW w:w="992" w:type="dxa"/>
          </w:tcPr>
          <w:p w14:paraId="44B1BDB5" w14:textId="77777777" w:rsidR="00C4262E" w:rsidRPr="008E1F35" w:rsidRDefault="00C4262E" w:rsidP="00D81787">
            <w:pPr>
              <w:jc w:val="right"/>
              <w:rPr>
                <w:rFonts w:cs="Arial"/>
                <w:sz w:val="20"/>
                <w:szCs w:val="20"/>
              </w:rPr>
            </w:pPr>
            <w:r w:rsidRPr="008E1F35">
              <w:rPr>
                <w:rFonts w:cs="Arial"/>
                <w:sz w:val="20"/>
                <w:szCs w:val="20"/>
              </w:rPr>
              <w:t>40.6</w:t>
            </w:r>
          </w:p>
        </w:tc>
        <w:tc>
          <w:tcPr>
            <w:tcW w:w="1418" w:type="dxa"/>
          </w:tcPr>
          <w:p w14:paraId="71C78F55" w14:textId="77777777" w:rsidR="00C4262E" w:rsidRPr="008E1F35" w:rsidRDefault="00C4262E" w:rsidP="00D81787">
            <w:pPr>
              <w:jc w:val="right"/>
              <w:rPr>
                <w:rFonts w:cs="Arial"/>
                <w:sz w:val="20"/>
                <w:szCs w:val="20"/>
              </w:rPr>
            </w:pPr>
            <w:r w:rsidRPr="008E1F35">
              <w:rPr>
                <w:rFonts w:cs="Arial"/>
                <w:sz w:val="20"/>
                <w:szCs w:val="20"/>
              </w:rPr>
              <w:t>0.0</w:t>
            </w:r>
          </w:p>
        </w:tc>
      </w:tr>
      <w:tr w:rsidR="00C4262E" w14:paraId="5DAB000B" w14:textId="77777777" w:rsidTr="00C4262E">
        <w:tc>
          <w:tcPr>
            <w:tcW w:w="1135" w:type="dxa"/>
          </w:tcPr>
          <w:p w14:paraId="21552065" w14:textId="77777777" w:rsidR="00C4262E" w:rsidRPr="008E1F35" w:rsidRDefault="00C4262E" w:rsidP="00C4262E">
            <w:pPr>
              <w:rPr>
                <w:rFonts w:cs="Arial"/>
                <w:sz w:val="20"/>
                <w:szCs w:val="20"/>
              </w:rPr>
            </w:pPr>
          </w:p>
        </w:tc>
        <w:tc>
          <w:tcPr>
            <w:tcW w:w="1275" w:type="dxa"/>
          </w:tcPr>
          <w:p w14:paraId="59C88454" w14:textId="5FA7EA21" w:rsidR="00C4262E" w:rsidRPr="008E1F35" w:rsidRDefault="00C4262E" w:rsidP="00C4262E">
            <w:pPr>
              <w:rPr>
                <w:rFonts w:cs="Arial"/>
                <w:sz w:val="20"/>
                <w:szCs w:val="20"/>
              </w:rPr>
            </w:pPr>
            <w:r w:rsidRPr="008E1F35">
              <w:rPr>
                <w:rFonts w:cs="Arial"/>
                <w:sz w:val="20"/>
                <w:szCs w:val="20"/>
              </w:rPr>
              <w:t>Total</w:t>
            </w:r>
            <w:r w:rsidR="00C76348">
              <w:rPr>
                <w:rFonts w:cs="Arial"/>
                <w:sz w:val="20"/>
                <w:szCs w:val="20"/>
              </w:rPr>
              <w:t xml:space="preserve"> 15+</w:t>
            </w:r>
          </w:p>
        </w:tc>
        <w:tc>
          <w:tcPr>
            <w:tcW w:w="851" w:type="dxa"/>
          </w:tcPr>
          <w:p w14:paraId="7C8968D9" w14:textId="77777777" w:rsidR="00C4262E" w:rsidRPr="008E1F35" w:rsidRDefault="00C4262E" w:rsidP="00D81787">
            <w:pPr>
              <w:jc w:val="right"/>
              <w:rPr>
                <w:rFonts w:cs="Arial"/>
                <w:sz w:val="20"/>
                <w:szCs w:val="20"/>
              </w:rPr>
            </w:pPr>
            <w:r w:rsidRPr="008E1F35">
              <w:rPr>
                <w:rFonts w:cs="Arial"/>
                <w:sz w:val="20"/>
                <w:szCs w:val="20"/>
              </w:rPr>
              <w:t>43.9</w:t>
            </w:r>
          </w:p>
        </w:tc>
        <w:tc>
          <w:tcPr>
            <w:tcW w:w="992" w:type="dxa"/>
          </w:tcPr>
          <w:p w14:paraId="3E8840F9" w14:textId="77777777" w:rsidR="00C4262E" w:rsidRPr="008E1F35" w:rsidRDefault="00C4262E" w:rsidP="00D81787">
            <w:pPr>
              <w:jc w:val="right"/>
              <w:rPr>
                <w:rFonts w:cs="Arial"/>
                <w:sz w:val="20"/>
                <w:szCs w:val="20"/>
              </w:rPr>
            </w:pPr>
            <w:r w:rsidRPr="008E1F35">
              <w:rPr>
                <w:rFonts w:cs="Arial"/>
                <w:sz w:val="20"/>
                <w:szCs w:val="20"/>
              </w:rPr>
              <w:t>30.0</w:t>
            </w:r>
          </w:p>
        </w:tc>
        <w:tc>
          <w:tcPr>
            <w:tcW w:w="2268" w:type="dxa"/>
          </w:tcPr>
          <w:p w14:paraId="0C3158EB" w14:textId="77777777" w:rsidR="00C4262E" w:rsidRPr="008E1F35" w:rsidRDefault="00C4262E" w:rsidP="00D81787">
            <w:pPr>
              <w:jc w:val="right"/>
              <w:rPr>
                <w:rFonts w:cs="Arial"/>
                <w:sz w:val="20"/>
                <w:szCs w:val="20"/>
              </w:rPr>
            </w:pPr>
            <w:r w:rsidRPr="008E1F35">
              <w:rPr>
                <w:rFonts w:cs="Arial"/>
                <w:sz w:val="20"/>
                <w:szCs w:val="20"/>
              </w:rPr>
              <w:t>42.2 (40.4–44.0)</w:t>
            </w:r>
          </w:p>
        </w:tc>
        <w:tc>
          <w:tcPr>
            <w:tcW w:w="992" w:type="dxa"/>
          </w:tcPr>
          <w:p w14:paraId="5C2CD549" w14:textId="77777777" w:rsidR="00C4262E" w:rsidRPr="008E1F35" w:rsidRDefault="00C4262E" w:rsidP="00D81787">
            <w:pPr>
              <w:jc w:val="right"/>
              <w:rPr>
                <w:rFonts w:cs="Arial"/>
                <w:sz w:val="20"/>
                <w:szCs w:val="20"/>
              </w:rPr>
            </w:pPr>
            <w:r w:rsidRPr="008E1F35">
              <w:rPr>
                <w:rFonts w:cs="Arial"/>
                <w:sz w:val="20"/>
                <w:szCs w:val="20"/>
              </w:rPr>
              <w:t>60.0</w:t>
            </w:r>
          </w:p>
        </w:tc>
        <w:tc>
          <w:tcPr>
            <w:tcW w:w="1418" w:type="dxa"/>
          </w:tcPr>
          <w:p w14:paraId="3EFF27EA" w14:textId="77777777" w:rsidR="00C4262E" w:rsidRPr="008E1F35" w:rsidRDefault="00C4262E" w:rsidP="00D81787">
            <w:pPr>
              <w:jc w:val="right"/>
              <w:rPr>
                <w:rFonts w:cs="Arial"/>
                <w:sz w:val="20"/>
                <w:szCs w:val="20"/>
              </w:rPr>
            </w:pPr>
            <w:r w:rsidRPr="008E1F35">
              <w:rPr>
                <w:rFonts w:cs="Arial"/>
                <w:sz w:val="20"/>
                <w:szCs w:val="20"/>
              </w:rPr>
              <w:t>0.0</w:t>
            </w:r>
          </w:p>
        </w:tc>
      </w:tr>
      <w:tr w:rsidR="00C4262E" w14:paraId="5EEA62BA" w14:textId="77777777" w:rsidTr="00C4262E">
        <w:tc>
          <w:tcPr>
            <w:tcW w:w="1135" w:type="dxa"/>
          </w:tcPr>
          <w:p w14:paraId="042D7D24" w14:textId="77777777" w:rsidR="00C4262E" w:rsidRPr="008E1F35" w:rsidRDefault="00C4262E" w:rsidP="00C4262E">
            <w:pPr>
              <w:rPr>
                <w:rFonts w:cs="Arial"/>
                <w:sz w:val="20"/>
                <w:szCs w:val="20"/>
              </w:rPr>
            </w:pPr>
          </w:p>
        </w:tc>
        <w:tc>
          <w:tcPr>
            <w:tcW w:w="1275" w:type="dxa"/>
          </w:tcPr>
          <w:p w14:paraId="60268B11" w14:textId="77777777" w:rsidR="00C4262E" w:rsidRPr="008E1F35" w:rsidRDefault="00C4262E" w:rsidP="00C4262E">
            <w:pPr>
              <w:rPr>
                <w:rFonts w:cs="Arial"/>
                <w:sz w:val="20"/>
                <w:szCs w:val="20"/>
              </w:rPr>
            </w:pPr>
          </w:p>
        </w:tc>
        <w:tc>
          <w:tcPr>
            <w:tcW w:w="851" w:type="dxa"/>
          </w:tcPr>
          <w:p w14:paraId="41B205D5" w14:textId="77777777" w:rsidR="00C4262E" w:rsidRPr="008E1F35" w:rsidRDefault="00C4262E" w:rsidP="00D81787">
            <w:pPr>
              <w:jc w:val="right"/>
              <w:rPr>
                <w:rFonts w:cs="Arial"/>
                <w:sz w:val="20"/>
                <w:szCs w:val="20"/>
              </w:rPr>
            </w:pPr>
          </w:p>
        </w:tc>
        <w:tc>
          <w:tcPr>
            <w:tcW w:w="992" w:type="dxa"/>
          </w:tcPr>
          <w:p w14:paraId="6596A37A" w14:textId="77777777" w:rsidR="00C4262E" w:rsidRPr="008E1F35" w:rsidRDefault="00C4262E" w:rsidP="00D81787">
            <w:pPr>
              <w:jc w:val="right"/>
              <w:rPr>
                <w:rFonts w:cs="Arial"/>
                <w:sz w:val="20"/>
                <w:szCs w:val="20"/>
              </w:rPr>
            </w:pPr>
          </w:p>
        </w:tc>
        <w:tc>
          <w:tcPr>
            <w:tcW w:w="2268" w:type="dxa"/>
          </w:tcPr>
          <w:p w14:paraId="5F0A7D20" w14:textId="77777777" w:rsidR="00C4262E" w:rsidRPr="008E1F35" w:rsidRDefault="00C4262E" w:rsidP="00D81787">
            <w:pPr>
              <w:jc w:val="right"/>
              <w:rPr>
                <w:rFonts w:cs="Arial"/>
                <w:sz w:val="20"/>
                <w:szCs w:val="20"/>
              </w:rPr>
            </w:pPr>
          </w:p>
        </w:tc>
        <w:tc>
          <w:tcPr>
            <w:tcW w:w="992" w:type="dxa"/>
          </w:tcPr>
          <w:p w14:paraId="306F0D7E" w14:textId="77777777" w:rsidR="00C4262E" w:rsidRPr="008E1F35" w:rsidRDefault="00C4262E" w:rsidP="00D81787">
            <w:pPr>
              <w:jc w:val="right"/>
              <w:rPr>
                <w:rFonts w:cs="Arial"/>
                <w:sz w:val="20"/>
                <w:szCs w:val="20"/>
              </w:rPr>
            </w:pPr>
          </w:p>
        </w:tc>
        <w:tc>
          <w:tcPr>
            <w:tcW w:w="1418" w:type="dxa"/>
          </w:tcPr>
          <w:p w14:paraId="2F655E96" w14:textId="77777777" w:rsidR="00C4262E" w:rsidRPr="008E1F35" w:rsidRDefault="00C4262E" w:rsidP="00D81787">
            <w:pPr>
              <w:jc w:val="right"/>
              <w:rPr>
                <w:rFonts w:cs="Arial"/>
                <w:sz w:val="20"/>
                <w:szCs w:val="20"/>
              </w:rPr>
            </w:pPr>
          </w:p>
        </w:tc>
      </w:tr>
      <w:tr w:rsidR="00C4262E" w14:paraId="4EF7A991" w14:textId="77777777" w:rsidTr="00C4262E">
        <w:tc>
          <w:tcPr>
            <w:tcW w:w="1135" w:type="dxa"/>
          </w:tcPr>
          <w:p w14:paraId="60DA6949" w14:textId="77777777" w:rsidR="00C4262E" w:rsidRPr="008E1F35" w:rsidRDefault="00C4262E" w:rsidP="00C4262E">
            <w:pPr>
              <w:rPr>
                <w:rFonts w:cs="Arial"/>
                <w:sz w:val="20"/>
                <w:szCs w:val="20"/>
              </w:rPr>
            </w:pPr>
            <w:r w:rsidRPr="008E1F35">
              <w:rPr>
                <w:rFonts w:cs="Arial"/>
                <w:sz w:val="20"/>
                <w:szCs w:val="20"/>
              </w:rPr>
              <w:t>Females</w:t>
            </w:r>
          </w:p>
        </w:tc>
        <w:tc>
          <w:tcPr>
            <w:tcW w:w="1275" w:type="dxa"/>
          </w:tcPr>
          <w:p w14:paraId="36060F0E" w14:textId="77777777" w:rsidR="00C4262E" w:rsidRPr="008E1F35" w:rsidRDefault="00C4262E" w:rsidP="00C4262E">
            <w:pPr>
              <w:rPr>
                <w:rFonts w:cs="Arial"/>
                <w:sz w:val="20"/>
                <w:szCs w:val="20"/>
              </w:rPr>
            </w:pPr>
            <w:r w:rsidRPr="008E1F35">
              <w:rPr>
                <w:rFonts w:cs="Arial"/>
                <w:sz w:val="20"/>
                <w:szCs w:val="20"/>
              </w:rPr>
              <w:t>15–18</w:t>
            </w:r>
          </w:p>
        </w:tc>
        <w:tc>
          <w:tcPr>
            <w:tcW w:w="851" w:type="dxa"/>
          </w:tcPr>
          <w:p w14:paraId="217C5764" w14:textId="77777777" w:rsidR="00C4262E" w:rsidRPr="008E1F35" w:rsidRDefault="00C4262E" w:rsidP="00D81787">
            <w:pPr>
              <w:jc w:val="right"/>
              <w:rPr>
                <w:rFonts w:cs="Arial"/>
                <w:sz w:val="20"/>
                <w:szCs w:val="20"/>
              </w:rPr>
            </w:pPr>
            <w:r w:rsidRPr="008E1F35">
              <w:rPr>
                <w:rFonts w:cs="Arial"/>
                <w:sz w:val="20"/>
                <w:szCs w:val="20"/>
              </w:rPr>
              <w:t>30.1</w:t>
            </w:r>
          </w:p>
        </w:tc>
        <w:tc>
          <w:tcPr>
            <w:tcW w:w="992" w:type="dxa"/>
          </w:tcPr>
          <w:p w14:paraId="3A315FDC" w14:textId="77777777" w:rsidR="00C4262E" w:rsidRPr="008E1F35" w:rsidRDefault="00C4262E" w:rsidP="00D81787">
            <w:pPr>
              <w:jc w:val="right"/>
              <w:rPr>
                <w:rFonts w:cs="Arial"/>
                <w:sz w:val="20"/>
                <w:szCs w:val="20"/>
              </w:rPr>
            </w:pPr>
            <w:r w:rsidRPr="008E1F35">
              <w:rPr>
                <w:rFonts w:cs="Arial"/>
                <w:sz w:val="20"/>
                <w:szCs w:val="20"/>
              </w:rPr>
              <w:t>19.1</w:t>
            </w:r>
          </w:p>
        </w:tc>
        <w:tc>
          <w:tcPr>
            <w:tcW w:w="2268" w:type="dxa"/>
          </w:tcPr>
          <w:p w14:paraId="13374E2C" w14:textId="77777777" w:rsidR="00C4262E" w:rsidRPr="008E1F35" w:rsidRDefault="00C4262E" w:rsidP="00D81787">
            <w:pPr>
              <w:jc w:val="right"/>
              <w:rPr>
                <w:rFonts w:cs="Arial"/>
                <w:sz w:val="20"/>
                <w:szCs w:val="20"/>
              </w:rPr>
            </w:pPr>
            <w:r w:rsidRPr="008E1F35">
              <w:rPr>
                <w:rFonts w:cs="Arial"/>
                <w:sz w:val="20"/>
                <w:szCs w:val="20"/>
              </w:rPr>
              <w:t>28.4 (26.3–30.5)</w:t>
            </w:r>
          </w:p>
        </w:tc>
        <w:tc>
          <w:tcPr>
            <w:tcW w:w="992" w:type="dxa"/>
          </w:tcPr>
          <w:p w14:paraId="4BBE99E4" w14:textId="77777777" w:rsidR="00C4262E" w:rsidRPr="008E1F35" w:rsidRDefault="00C4262E" w:rsidP="00D81787">
            <w:pPr>
              <w:jc w:val="right"/>
              <w:rPr>
                <w:rFonts w:cs="Arial"/>
                <w:sz w:val="20"/>
                <w:szCs w:val="20"/>
              </w:rPr>
            </w:pPr>
            <w:r w:rsidRPr="008E1F35">
              <w:rPr>
                <w:rFonts w:cs="Arial"/>
                <w:sz w:val="20"/>
                <w:szCs w:val="20"/>
              </w:rPr>
              <w:t>43.1</w:t>
            </w:r>
          </w:p>
        </w:tc>
        <w:tc>
          <w:tcPr>
            <w:tcW w:w="1418" w:type="dxa"/>
          </w:tcPr>
          <w:p w14:paraId="6A22AA99" w14:textId="77777777" w:rsidR="00C4262E" w:rsidRPr="008E1F35" w:rsidRDefault="00C4262E" w:rsidP="00D81787">
            <w:pPr>
              <w:jc w:val="right"/>
              <w:rPr>
                <w:rFonts w:cs="Arial"/>
                <w:sz w:val="20"/>
                <w:szCs w:val="20"/>
              </w:rPr>
            </w:pPr>
            <w:r w:rsidRPr="008E1F35">
              <w:rPr>
                <w:rFonts w:cs="Arial"/>
                <w:sz w:val="20"/>
                <w:szCs w:val="20"/>
              </w:rPr>
              <w:t>0.2</w:t>
            </w:r>
          </w:p>
        </w:tc>
      </w:tr>
      <w:tr w:rsidR="00C4262E" w14:paraId="21E4689E" w14:textId="77777777" w:rsidTr="00C4262E">
        <w:tc>
          <w:tcPr>
            <w:tcW w:w="1135" w:type="dxa"/>
          </w:tcPr>
          <w:p w14:paraId="0E30EE6E" w14:textId="77777777" w:rsidR="00C4262E" w:rsidRPr="008E1F35" w:rsidRDefault="00C4262E" w:rsidP="00C4262E">
            <w:pPr>
              <w:rPr>
                <w:rFonts w:cs="Arial"/>
                <w:sz w:val="20"/>
                <w:szCs w:val="20"/>
              </w:rPr>
            </w:pPr>
          </w:p>
        </w:tc>
        <w:tc>
          <w:tcPr>
            <w:tcW w:w="1275" w:type="dxa"/>
          </w:tcPr>
          <w:p w14:paraId="0637A1C5" w14:textId="77777777" w:rsidR="00C4262E" w:rsidRPr="008E1F35" w:rsidRDefault="00C4262E" w:rsidP="00C4262E">
            <w:pPr>
              <w:rPr>
                <w:rFonts w:cs="Arial"/>
                <w:sz w:val="20"/>
                <w:szCs w:val="20"/>
              </w:rPr>
            </w:pPr>
            <w:r w:rsidRPr="008E1F35">
              <w:rPr>
                <w:rFonts w:cs="Arial"/>
                <w:sz w:val="20"/>
                <w:szCs w:val="20"/>
              </w:rPr>
              <w:t>19–30</w:t>
            </w:r>
          </w:p>
        </w:tc>
        <w:tc>
          <w:tcPr>
            <w:tcW w:w="851" w:type="dxa"/>
          </w:tcPr>
          <w:p w14:paraId="1F45B1B3" w14:textId="77777777" w:rsidR="00C4262E" w:rsidRPr="008E1F35" w:rsidRDefault="00C4262E" w:rsidP="00D81787">
            <w:pPr>
              <w:jc w:val="right"/>
              <w:rPr>
                <w:rFonts w:cs="Arial"/>
                <w:sz w:val="20"/>
                <w:szCs w:val="20"/>
              </w:rPr>
            </w:pPr>
            <w:r w:rsidRPr="008E1F35">
              <w:rPr>
                <w:rFonts w:cs="Arial"/>
                <w:sz w:val="20"/>
                <w:szCs w:val="20"/>
              </w:rPr>
              <w:t>32.0</w:t>
            </w:r>
          </w:p>
        </w:tc>
        <w:tc>
          <w:tcPr>
            <w:tcW w:w="992" w:type="dxa"/>
          </w:tcPr>
          <w:p w14:paraId="4FBEDD2B" w14:textId="77777777" w:rsidR="00C4262E" w:rsidRPr="008E1F35" w:rsidRDefault="00C4262E" w:rsidP="00D81787">
            <w:pPr>
              <w:jc w:val="right"/>
              <w:rPr>
                <w:rFonts w:cs="Arial"/>
                <w:sz w:val="20"/>
                <w:szCs w:val="20"/>
              </w:rPr>
            </w:pPr>
            <w:r w:rsidRPr="008E1F35">
              <w:rPr>
                <w:rFonts w:cs="Arial"/>
                <w:sz w:val="20"/>
                <w:szCs w:val="20"/>
              </w:rPr>
              <w:t>24.1</w:t>
            </w:r>
          </w:p>
        </w:tc>
        <w:tc>
          <w:tcPr>
            <w:tcW w:w="2268" w:type="dxa"/>
          </w:tcPr>
          <w:p w14:paraId="68379CDA" w14:textId="77777777" w:rsidR="00C4262E" w:rsidRPr="008E1F35" w:rsidRDefault="00C4262E" w:rsidP="00D81787">
            <w:pPr>
              <w:jc w:val="right"/>
              <w:rPr>
                <w:rFonts w:cs="Arial"/>
                <w:sz w:val="20"/>
                <w:szCs w:val="20"/>
              </w:rPr>
            </w:pPr>
            <w:r w:rsidRPr="008E1F35">
              <w:rPr>
                <w:rFonts w:cs="Arial"/>
                <w:sz w:val="20"/>
                <w:szCs w:val="20"/>
              </w:rPr>
              <w:t>31.2 (28.1–34.3)</w:t>
            </w:r>
          </w:p>
        </w:tc>
        <w:tc>
          <w:tcPr>
            <w:tcW w:w="992" w:type="dxa"/>
          </w:tcPr>
          <w:p w14:paraId="3889360E" w14:textId="77777777" w:rsidR="00C4262E" w:rsidRPr="008E1F35" w:rsidRDefault="00C4262E" w:rsidP="00D81787">
            <w:pPr>
              <w:jc w:val="right"/>
              <w:rPr>
                <w:rFonts w:cs="Arial"/>
                <w:sz w:val="20"/>
                <w:szCs w:val="20"/>
              </w:rPr>
            </w:pPr>
            <w:r w:rsidRPr="008E1F35">
              <w:rPr>
                <w:rFonts w:cs="Arial"/>
                <w:sz w:val="20"/>
                <w:szCs w:val="20"/>
              </w:rPr>
              <w:t>40.9</w:t>
            </w:r>
          </w:p>
        </w:tc>
        <w:tc>
          <w:tcPr>
            <w:tcW w:w="1418" w:type="dxa"/>
          </w:tcPr>
          <w:p w14:paraId="02EB8F48" w14:textId="77777777" w:rsidR="00C4262E" w:rsidRPr="008E1F35" w:rsidRDefault="00C4262E" w:rsidP="00D81787">
            <w:pPr>
              <w:jc w:val="right"/>
              <w:rPr>
                <w:rFonts w:cs="Arial"/>
                <w:sz w:val="20"/>
                <w:szCs w:val="20"/>
              </w:rPr>
            </w:pPr>
            <w:r w:rsidRPr="008E1F35">
              <w:rPr>
                <w:rFonts w:cs="Arial"/>
                <w:sz w:val="20"/>
                <w:szCs w:val="20"/>
              </w:rPr>
              <w:t>0.0</w:t>
            </w:r>
          </w:p>
        </w:tc>
      </w:tr>
      <w:tr w:rsidR="00C4262E" w14:paraId="2F1EAD5C" w14:textId="77777777" w:rsidTr="00C4262E">
        <w:tc>
          <w:tcPr>
            <w:tcW w:w="1135" w:type="dxa"/>
          </w:tcPr>
          <w:p w14:paraId="528E365D" w14:textId="77777777" w:rsidR="00C4262E" w:rsidRPr="008E1F35" w:rsidRDefault="00C4262E" w:rsidP="00C4262E">
            <w:pPr>
              <w:rPr>
                <w:rFonts w:cs="Arial"/>
                <w:sz w:val="20"/>
                <w:szCs w:val="20"/>
              </w:rPr>
            </w:pPr>
          </w:p>
        </w:tc>
        <w:tc>
          <w:tcPr>
            <w:tcW w:w="1275" w:type="dxa"/>
          </w:tcPr>
          <w:p w14:paraId="34C86AC6" w14:textId="77777777" w:rsidR="00C4262E" w:rsidRPr="008E1F35" w:rsidRDefault="00C4262E" w:rsidP="00C4262E">
            <w:pPr>
              <w:rPr>
                <w:rFonts w:cs="Arial"/>
                <w:sz w:val="20"/>
                <w:szCs w:val="20"/>
              </w:rPr>
            </w:pPr>
            <w:r w:rsidRPr="008E1F35">
              <w:rPr>
                <w:rFonts w:cs="Arial"/>
                <w:sz w:val="20"/>
                <w:szCs w:val="20"/>
              </w:rPr>
              <w:t>31–50</w:t>
            </w:r>
          </w:p>
        </w:tc>
        <w:tc>
          <w:tcPr>
            <w:tcW w:w="851" w:type="dxa"/>
          </w:tcPr>
          <w:p w14:paraId="07B4F15E" w14:textId="77777777" w:rsidR="00C4262E" w:rsidRPr="008E1F35" w:rsidRDefault="00C4262E" w:rsidP="00D81787">
            <w:pPr>
              <w:jc w:val="right"/>
              <w:rPr>
                <w:rFonts w:cs="Arial"/>
                <w:sz w:val="20"/>
                <w:szCs w:val="20"/>
              </w:rPr>
            </w:pPr>
            <w:r w:rsidRPr="008E1F35">
              <w:rPr>
                <w:rFonts w:cs="Arial"/>
                <w:sz w:val="20"/>
                <w:szCs w:val="20"/>
              </w:rPr>
              <w:t>32.6</w:t>
            </w:r>
          </w:p>
        </w:tc>
        <w:tc>
          <w:tcPr>
            <w:tcW w:w="992" w:type="dxa"/>
          </w:tcPr>
          <w:p w14:paraId="439C68E8" w14:textId="77777777" w:rsidR="00C4262E" w:rsidRPr="008E1F35" w:rsidRDefault="00C4262E" w:rsidP="00D81787">
            <w:pPr>
              <w:jc w:val="right"/>
              <w:rPr>
                <w:rFonts w:cs="Arial"/>
                <w:sz w:val="20"/>
                <w:szCs w:val="20"/>
              </w:rPr>
            </w:pPr>
            <w:r w:rsidRPr="008E1F35">
              <w:rPr>
                <w:rFonts w:cs="Arial"/>
                <w:sz w:val="20"/>
                <w:szCs w:val="20"/>
              </w:rPr>
              <w:t>22.7</w:t>
            </w:r>
          </w:p>
        </w:tc>
        <w:tc>
          <w:tcPr>
            <w:tcW w:w="2268" w:type="dxa"/>
          </w:tcPr>
          <w:p w14:paraId="62716A3D" w14:textId="77777777" w:rsidR="00C4262E" w:rsidRPr="008E1F35" w:rsidRDefault="00C4262E" w:rsidP="00D81787">
            <w:pPr>
              <w:jc w:val="right"/>
              <w:rPr>
                <w:rFonts w:cs="Arial"/>
                <w:sz w:val="20"/>
                <w:szCs w:val="20"/>
              </w:rPr>
            </w:pPr>
            <w:r w:rsidRPr="008E1F35">
              <w:rPr>
                <w:rFonts w:cs="Arial"/>
                <w:sz w:val="20"/>
                <w:szCs w:val="20"/>
              </w:rPr>
              <w:t>31.7 (30.1–33.3)</w:t>
            </w:r>
          </w:p>
        </w:tc>
        <w:tc>
          <w:tcPr>
            <w:tcW w:w="992" w:type="dxa"/>
          </w:tcPr>
          <w:p w14:paraId="34059DD2" w14:textId="77777777" w:rsidR="00C4262E" w:rsidRPr="008E1F35" w:rsidRDefault="00C4262E" w:rsidP="00D81787">
            <w:pPr>
              <w:jc w:val="right"/>
              <w:rPr>
                <w:rFonts w:cs="Arial"/>
                <w:sz w:val="20"/>
                <w:szCs w:val="20"/>
              </w:rPr>
            </w:pPr>
            <w:r w:rsidRPr="008E1F35">
              <w:rPr>
                <w:rFonts w:cs="Arial"/>
                <w:sz w:val="20"/>
                <w:szCs w:val="20"/>
              </w:rPr>
              <w:t>43.7</w:t>
            </w:r>
          </w:p>
        </w:tc>
        <w:tc>
          <w:tcPr>
            <w:tcW w:w="1418" w:type="dxa"/>
          </w:tcPr>
          <w:p w14:paraId="56845E33" w14:textId="77777777" w:rsidR="00C4262E" w:rsidRPr="008E1F35" w:rsidRDefault="00C4262E" w:rsidP="00D81787">
            <w:pPr>
              <w:jc w:val="right"/>
              <w:rPr>
                <w:rFonts w:cs="Arial"/>
                <w:sz w:val="20"/>
                <w:szCs w:val="20"/>
              </w:rPr>
            </w:pPr>
            <w:r w:rsidRPr="008E1F35">
              <w:rPr>
                <w:rFonts w:cs="Arial"/>
                <w:sz w:val="20"/>
                <w:szCs w:val="20"/>
              </w:rPr>
              <w:t>0.0</w:t>
            </w:r>
          </w:p>
        </w:tc>
      </w:tr>
      <w:tr w:rsidR="00C4262E" w14:paraId="5D394248" w14:textId="77777777" w:rsidTr="00C4262E">
        <w:tc>
          <w:tcPr>
            <w:tcW w:w="1135" w:type="dxa"/>
          </w:tcPr>
          <w:p w14:paraId="46ED6C4D" w14:textId="77777777" w:rsidR="00C4262E" w:rsidRPr="008E1F35" w:rsidRDefault="00C4262E" w:rsidP="00C4262E">
            <w:pPr>
              <w:rPr>
                <w:rFonts w:cs="Arial"/>
                <w:sz w:val="20"/>
                <w:szCs w:val="20"/>
              </w:rPr>
            </w:pPr>
          </w:p>
        </w:tc>
        <w:tc>
          <w:tcPr>
            <w:tcW w:w="1275" w:type="dxa"/>
          </w:tcPr>
          <w:p w14:paraId="1D60A38F" w14:textId="77777777" w:rsidR="00C4262E" w:rsidRPr="008E1F35" w:rsidRDefault="00C4262E" w:rsidP="00C4262E">
            <w:pPr>
              <w:rPr>
                <w:rFonts w:cs="Arial"/>
                <w:sz w:val="20"/>
                <w:szCs w:val="20"/>
              </w:rPr>
            </w:pPr>
            <w:r w:rsidRPr="008E1F35">
              <w:rPr>
                <w:rFonts w:cs="Arial"/>
                <w:sz w:val="20"/>
                <w:szCs w:val="20"/>
              </w:rPr>
              <w:t>51–70</w:t>
            </w:r>
          </w:p>
        </w:tc>
        <w:tc>
          <w:tcPr>
            <w:tcW w:w="851" w:type="dxa"/>
          </w:tcPr>
          <w:p w14:paraId="1F6F79C5" w14:textId="77777777" w:rsidR="00C4262E" w:rsidRPr="008E1F35" w:rsidRDefault="00C4262E" w:rsidP="00D81787">
            <w:pPr>
              <w:jc w:val="right"/>
              <w:rPr>
                <w:rFonts w:cs="Arial"/>
                <w:sz w:val="20"/>
                <w:szCs w:val="20"/>
              </w:rPr>
            </w:pPr>
            <w:r w:rsidRPr="008E1F35">
              <w:rPr>
                <w:rFonts w:cs="Arial"/>
                <w:sz w:val="20"/>
                <w:szCs w:val="20"/>
              </w:rPr>
              <w:t>28.3</w:t>
            </w:r>
          </w:p>
        </w:tc>
        <w:tc>
          <w:tcPr>
            <w:tcW w:w="992" w:type="dxa"/>
          </w:tcPr>
          <w:p w14:paraId="129F45B9" w14:textId="77777777" w:rsidR="00C4262E" w:rsidRPr="008E1F35" w:rsidRDefault="00C4262E" w:rsidP="00D81787">
            <w:pPr>
              <w:jc w:val="right"/>
              <w:rPr>
                <w:rFonts w:cs="Arial"/>
                <w:sz w:val="20"/>
                <w:szCs w:val="20"/>
              </w:rPr>
            </w:pPr>
            <w:r w:rsidRPr="008E1F35">
              <w:rPr>
                <w:rFonts w:cs="Arial"/>
                <w:sz w:val="20"/>
                <w:szCs w:val="20"/>
              </w:rPr>
              <w:t>20.0</w:t>
            </w:r>
          </w:p>
        </w:tc>
        <w:tc>
          <w:tcPr>
            <w:tcW w:w="2268" w:type="dxa"/>
          </w:tcPr>
          <w:p w14:paraId="034284CE" w14:textId="77777777" w:rsidR="00C4262E" w:rsidRPr="008E1F35" w:rsidRDefault="00C4262E" w:rsidP="00D81787">
            <w:pPr>
              <w:jc w:val="right"/>
              <w:rPr>
                <w:rFonts w:cs="Arial"/>
                <w:sz w:val="20"/>
                <w:szCs w:val="20"/>
              </w:rPr>
            </w:pPr>
            <w:r w:rsidRPr="008E1F35">
              <w:rPr>
                <w:rFonts w:cs="Arial"/>
                <w:sz w:val="20"/>
                <w:szCs w:val="20"/>
              </w:rPr>
              <w:t>27.7 (26.4–29.0)</w:t>
            </w:r>
          </w:p>
        </w:tc>
        <w:tc>
          <w:tcPr>
            <w:tcW w:w="992" w:type="dxa"/>
          </w:tcPr>
          <w:p w14:paraId="29ED87F6" w14:textId="77777777" w:rsidR="00C4262E" w:rsidRPr="008E1F35" w:rsidRDefault="00C4262E" w:rsidP="00D81787">
            <w:pPr>
              <w:jc w:val="right"/>
              <w:rPr>
                <w:rFonts w:cs="Arial"/>
                <w:sz w:val="20"/>
                <w:szCs w:val="20"/>
              </w:rPr>
            </w:pPr>
            <w:r w:rsidRPr="008E1F35">
              <w:rPr>
                <w:rFonts w:cs="Arial"/>
                <w:sz w:val="20"/>
                <w:szCs w:val="20"/>
              </w:rPr>
              <w:t>37.4</w:t>
            </w:r>
          </w:p>
        </w:tc>
        <w:tc>
          <w:tcPr>
            <w:tcW w:w="1418" w:type="dxa"/>
          </w:tcPr>
          <w:p w14:paraId="1885B9E5" w14:textId="77777777" w:rsidR="00C4262E" w:rsidRPr="008E1F35" w:rsidRDefault="00C4262E" w:rsidP="00D81787">
            <w:pPr>
              <w:jc w:val="right"/>
              <w:rPr>
                <w:rFonts w:cs="Arial"/>
                <w:sz w:val="20"/>
                <w:szCs w:val="20"/>
              </w:rPr>
            </w:pPr>
            <w:r w:rsidRPr="008E1F35">
              <w:rPr>
                <w:rFonts w:cs="Arial"/>
                <w:sz w:val="20"/>
                <w:szCs w:val="20"/>
              </w:rPr>
              <w:t>0.0</w:t>
            </w:r>
          </w:p>
        </w:tc>
      </w:tr>
      <w:tr w:rsidR="00C4262E" w14:paraId="0ADE8BB9" w14:textId="77777777" w:rsidTr="00FE6FC6">
        <w:tc>
          <w:tcPr>
            <w:tcW w:w="1135" w:type="dxa"/>
          </w:tcPr>
          <w:p w14:paraId="78B0B7EB" w14:textId="77777777" w:rsidR="00C4262E" w:rsidRPr="008E1F35" w:rsidRDefault="00C4262E" w:rsidP="00C4262E">
            <w:pPr>
              <w:rPr>
                <w:rFonts w:cs="Arial"/>
                <w:sz w:val="20"/>
                <w:szCs w:val="20"/>
              </w:rPr>
            </w:pPr>
          </w:p>
        </w:tc>
        <w:tc>
          <w:tcPr>
            <w:tcW w:w="1275" w:type="dxa"/>
          </w:tcPr>
          <w:p w14:paraId="2E8CA490" w14:textId="77777777" w:rsidR="00C4262E" w:rsidRPr="008E1F35" w:rsidRDefault="00C4262E" w:rsidP="00C4262E">
            <w:pPr>
              <w:rPr>
                <w:rFonts w:cs="Arial"/>
                <w:sz w:val="20"/>
                <w:szCs w:val="20"/>
              </w:rPr>
            </w:pPr>
            <w:r w:rsidRPr="008E1F35">
              <w:rPr>
                <w:rFonts w:cs="Arial"/>
                <w:sz w:val="20"/>
                <w:szCs w:val="20"/>
              </w:rPr>
              <w:t>71+</w:t>
            </w:r>
          </w:p>
        </w:tc>
        <w:tc>
          <w:tcPr>
            <w:tcW w:w="851" w:type="dxa"/>
          </w:tcPr>
          <w:p w14:paraId="6491FB42" w14:textId="77777777" w:rsidR="00C4262E" w:rsidRPr="008E1F35" w:rsidRDefault="00C4262E" w:rsidP="00D81787">
            <w:pPr>
              <w:jc w:val="right"/>
              <w:rPr>
                <w:rFonts w:cs="Arial"/>
                <w:sz w:val="20"/>
                <w:szCs w:val="20"/>
              </w:rPr>
            </w:pPr>
            <w:r w:rsidRPr="008E1F35">
              <w:rPr>
                <w:rFonts w:cs="Arial"/>
                <w:sz w:val="20"/>
                <w:szCs w:val="20"/>
              </w:rPr>
              <w:t>24.2</w:t>
            </w:r>
          </w:p>
        </w:tc>
        <w:tc>
          <w:tcPr>
            <w:tcW w:w="992" w:type="dxa"/>
          </w:tcPr>
          <w:p w14:paraId="4F60EFBD" w14:textId="77777777" w:rsidR="00C4262E" w:rsidRPr="008E1F35" w:rsidRDefault="00C4262E" w:rsidP="00D81787">
            <w:pPr>
              <w:jc w:val="right"/>
              <w:rPr>
                <w:rFonts w:cs="Arial"/>
                <w:sz w:val="20"/>
                <w:szCs w:val="20"/>
              </w:rPr>
            </w:pPr>
            <w:r w:rsidRPr="008E1F35">
              <w:rPr>
                <w:rFonts w:cs="Arial"/>
                <w:sz w:val="20"/>
                <w:szCs w:val="20"/>
              </w:rPr>
              <w:t>16.8</w:t>
            </w:r>
          </w:p>
        </w:tc>
        <w:tc>
          <w:tcPr>
            <w:tcW w:w="2268" w:type="dxa"/>
          </w:tcPr>
          <w:p w14:paraId="54D9FA8E" w14:textId="77777777" w:rsidR="00C4262E" w:rsidRPr="008E1F35" w:rsidRDefault="00C4262E" w:rsidP="00D81787">
            <w:pPr>
              <w:jc w:val="right"/>
              <w:rPr>
                <w:rFonts w:cs="Arial"/>
                <w:sz w:val="20"/>
                <w:szCs w:val="20"/>
              </w:rPr>
            </w:pPr>
            <w:r w:rsidRPr="008E1F35">
              <w:rPr>
                <w:rFonts w:cs="Arial"/>
                <w:sz w:val="20"/>
                <w:szCs w:val="20"/>
              </w:rPr>
              <w:t>23.3 (22.3–24.3)</w:t>
            </w:r>
          </w:p>
        </w:tc>
        <w:tc>
          <w:tcPr>
            <w:tcW w:w="992" w:type="dxa"/>
          </w:tcPr>
          <w:p w14:paraId="496DEBB5" w14:textId="77777777" w:rsidR="00C4262E" w:rsidRPr="008E1F35" w:rsidRDefault="00C4262E" w:rsidP="00D81787">
            <w:pPr>
              <w:jc w:val="right"/>
              <w:rPr>
                <w:rFonts w:cs="Arial"/>
                <w:sz w:val="20"/>
                <w:szCs w:val="20"/>
              </w:rPr>
            </w:pPr>
            <w:r w:rsidRPr="008E1F35">
              <w:rPr>
                <w:rFonts w:cs="Arial"/>
                <w:sz w:val="20"/>
                <w:szCs w:val="20"/>
              </w:rPr>
              <w:t>32.7</w:t>
            </w:r>
          </w:p>
        </w:tc>
        <w:tc>
          <w:tcPr>
            <w:tcW w:w="1418" w:type="dxa"/>
          </w:tcPr>
          <w:p w14:paraId="18F85B98" w14:textId="77777777" w:rsidR="00C4262E" w:rsidRPr="008E1F35" w:rsidRDefault="00C4262E" w:rsidP="00D81787">
            <w:pPr>
              <w:jc w:val="right"/>
              <w:rPr>
                <w:rFonts w:cs="Arial"/>
                <w:sz w:val="20"/>
                <w:szCs w:val="20"/>
              </w:rPr>
            </w:pPr>
            <w:r w:rsidRPr="008E1F35">
              <w:rPr>
                <w:rFonts w:cs="Arial"/>
                <w:sz w:val="20"/>
                <w:szCs w:val="20"/>
              </w:rPr>
              <w:t>0.4</w:t>
            </w:r>
          </w:p>
        </w:tc>
      </w:tr>
      <w:tr w:rsidR="00C4262E" w14:paraId="66877FDF" w14:textId="77777777" w:rsidTr="00FE6FC6">
        <w:tc>
          <w:tcPr>
            <w:tcW w:w="1135" w:type="dxa"/>
          </w:tcPr>
          <w:p w14:paraId="16A2DFD9" w14:textId="77777777" w:rsidR="00C4262E" w:rsidRPr="008E1F35" w:rsidRDefault="00C4262E" w:rsidP="00C4262E">
            <w:pPr>
              <w:rPr>
                <w:rFonts w:cs="Arial"/>
                <w:sz w:val="20"/>
                <w:szCs w:val="20"/>
              </w:rPr>
            </w:pPr>
          </w:p>
        </w:tc>
        <w:tc>
          <w:tcPr>
            <w:tcW w:w="1275" w:type="dxa"/>
          </w:tcPr>
          <w:p w14:paraId="01723EAF" w14:textId="4923E5E7" w:rsidR="00C4262E" w:rsidRPr="008E1F35" w:rsidRDefault="00C4262E" w:rsidP="00C4262E">
            <w:pPr>
              <w:rPr>
                <w:rFonts w:cs="Arial"/>
                <w:sz w:val="20"/>
                <w:szCs w:val="20"/>
              </w:rPr>
            </w:pPr>
            <w:r w:rsidRPr="008E1F35">
              <w:rPr>
                <w:rFonts w:cs="Arial"/>
                <w:sz w:val="20"/>
                <w:szCs w:val="20"/>
              </w:rPr>
              <w:t>Total</w:t>
            </w:r>
            <w:r w:rsidR="00C76348">
              <w:rPr>
                <w:rFonts w:cs="Arial"/>
                <w:sz w:val="20"/>
                <w:szCs w:val="20"/>
              </w:rPr>
              <w:t xml:space="preserve"> 15+</w:t>
            </w:r>
          </w:p>
        </w:tc>
        <w:tc>
          <w:tcPr>
            <w:tcW w:w="851" w:type="dxa"/>
          </w:tcPr>
          <w:p w14:paraId="16DB718E" w14:textId="77777777" w:rsidR="00C4262E" w:rsidRPr="008E1F35" w:rsidRDefault="00C4262E" w:rsidP="00D81787">
            <w:pPr>
              <w:jc w:val="right"/>
              <w:rPr>
                <w:rFonts w:cs="Arial"/>
                <w:sz w:val="20"/>
                <w:szCs w:val="20"/>
              </w:rPr>
            </w:pPr>
            <w:r w:rsidRPr="008E1F35">
              <w:rPr>
                <w:rFonts w:cs="Arial"/>
                <w:sz w:val="20"/>
                <w:szCs w:val="20"/>
              </w:rPr>
              <w:t>30.3</w:t>
            </w:r>
          </w:p>
        </w:tc>
        <w:tc>
          <w:tcPr>
            <w:tcW w:w="992" w:type="dxa"/>
          </w:tcPr>
          <w:p w14:paraId="7BA00DFB" w14:textId="77777777" w:rsidR="00C4262E" w:rsidRPr="008E1F35" w:rsidRDefault="00C4262E" w:rsidP="00D81787">
            <w:pPr>
              <w:jc w:val="right"/>
              <w:rPr>
                <w:rFonts w:cs="Arial"/>
                <w:sz w:val="20"/>
                <w:szCs w:val="20"/>
              </w:rPr>
            </w:pPr>
            <w:r w:rsidRPr="008E1F35">
              <w:rPr>
                <w:rFonts w:cs="Arial"/>
                <w:sz w:val="20"/>
                <w:szCs w:val="20"/>
              </w:rPr>
              <w:t>20.7</w:t>
            </w:r>
          </w:p>
        </w:tc>
        <w:tc>
          <w:tcPr>
            <w:tcW w:w="2268" w:type="dxa"/>
          </w:tcPr>
          <w:p w14:paraId="464540C5" w14:textId="77777777" w:rsidR="00C4262E" w:rsidRPr="008E1F35" w:rsidRDefault="00C4262E" w:rsidP="00D81787">
            <w:pPr>
              <w:jc w:val="right"/>
              <w:rPr>
                <w:rFonts w:cs="Arial"/>
                <w:sz w:val="20"/>
                <w:szCs w:val="20"/>
              </w:rPr>
            </w:pPr>
            <w:r w:rsidRPr="008E1F35">
              <w:rPr>
                <w:rFonts w:cs="Arial"/>
                <w:sz w:val="20"/>
                <w:szCs w:val="20"/>
              </w:rPr>
              <w:t>29.1 (28.1–30.1</w:t>
            </w:r>
          </w:p>
        </w:tc>
        <w:tc>
          <w:tcPr>
            <w:tcW w:w="992" w:type="dxa"/>
          </w:tcPr>
          <w:p w14:paraId="69D29B0F" w14:textId="77777777" w:rsidR="00C4262E" w:rsidRPr="008E1F35" w:rsidRDefault="00C4262E" w:rsidP="00D81787">
            <w:pPr>
              <w:jc w:val="right"/>
              <w:rPr>
                <w:rFonts w:cs="Arial"/>
                <w:sz w:val="20"/>
                <w:szCs w:val="20"/>
              </w:rPr>
            </w:pPr>
            <w:r w:rsidRPr="008E1F35">
              <w:rPr>
                <w:rFonts w:cs="Arial"/>
                <w:sz w:val="20"/>
                <w:szCs w:val="20"/>
              </w:rPr>
              <w:t>41.3</w:t>
            </w:r>
          </w:p>
        </w:tc>
        <w:tc>
          <w:tcPr>
            <w:tcW w:w="1418" w:type="dxa"/>
          </w:tcPr>
          <w:p w14:paraId="4F9371F4" w14:textId="77777777" w:rsidR="00C4262E" w:rsidRPr="008E1F35" w:rsidRDefault="00C4262E" w:rsidP="00D81787">
            <w:pPr>
              <w:jc w:val="right"/>
              <w:rPr>
                <w:rFonts w:cs="Arial"/>
                <w:sz w:val="20"/>
                <w:szCs w:val="20"/>
              </w:rPr>
            </w:pPr>
            <w:r w:rsidRPr="008E1F35">
              <w:rPr>
                <w:rFonts w:cs="Arial"/>
                <w:sz w:val="20"/>
                <w:szCs w:val="20"/>
              </w:rPr>
              <w:t>0.1</w:t>
            </w:r>
          </w:p>
        </w:tc>
      </w:tr>
    </w:tbl>
    <w:p w14:paraId="4E7BAEEA" w14:textId="6959130C" w:rsidR="008E1F35" w:rsidRPr="008E1F35" w:rsidRDefault="008E1F35" w:rsidP="008E1F35">
      <w:pPr>
        <w:widowControl/>
        <w:autoSpaceDE w:val="0"/>
        <w:autoSpaceDN w:val="0"/>
        <w:adjustRightInd w:val="0"/>
        <w:rPr>
          <w:rFonts w:cs="Arial"/>
          <w:sz w:val="18"/>
          <w:szCs w:val="18"/>
          <w:lang w:eastAsia="en-GB" w:bidi="ar-SA"/>
        </w:rPr>
      </w:pPr>
      <w:r>
        <w:rPr>
          <w:rFonts w:ascii="ArialMT" w:hAnsi="ArialMT" w:cs="ArialMT"/>
          <w:sz w:val="18"/>
          <w:szCs w:val="18"/>
          <w:lang w:eastAsia="en-GB" w:bidi="ar-SA"/>
        </w:rPr>
        <w:t xml:space="preserve">1 </w:t>
      </w:r>
      <w:r w:rsidRPr="008E1F35">
        <w:rPr>
          <w:rFonts w:cs="Arial"/>
          <w:sz w:val="18"/>
          <w:szCs w:val="18"/>
          <w:lang w:eastAsia="en-GB" w:bidi="ar-SA"/>
        </w:rPr>
        <w:t>Usual daily intake. These data were adjusted for intra-individual variation using PC-SIDE.</w:t>
      </w:r>
    </w:p>
    <w:p w14:paraId="725027C9" w14:textId="77777777" w:rsidR="00C76348" w:rsidRDefault="008E1F35" w:rsidP="008E1F35">
      <w:pPr>
        <w:widowControl/>
        <w:autoSpaceDE w:val="0"/>
        <w:autoSpaceDN w:val="0"/>
        <w:adjustRightInd w:val="0"/>
        <w:rPr>
          <w:rFonts w:cs="Arial"/>
          <w:sz w:val="18"/>
          <w:szCs w:val="18"/>
          <w:lang w:eastAsia="en-GB" w:bidi="ar-SA"/>
        </w:rPr>
      </w:pPr>
      <w:r w:rsidRPr="008E1F35">
        <w:rPr>
          <w:rFonts w:cs="Arial"/>
          <w:sz w:val="18"/>
          <w:szCs w:val="18"/>
          <w:lang w:eastAsia="en-GB" w:bidi="ar-SA"/>
        </w:rPr>
        <w:t xml:space="preserve">2 Percentiles. </w:t>
      </w:r>
    </w:p>
    <w:p w14:paraId="3F65D7CE" w14:textId="4E6A92FD" w:rsidR="008145B1" w:rsidRDefault="008E1F35" w:rsidP="008E1F35">
      <w:pPr>
        <w:widowControl/>
        <w:autoSpaceDE w:val="0"/>
        <w:autoSpaceDN w:val="0"/>
        <w:adjustRightInd w:val="0"/>
        <w:rPr>
          <w:rFonts w:cs="Arial"/>
          <w:sz w:val="18"/>
          <w:szCs w:val="18"/>
          <w:lang w:eastAsia="en-GB" w:bidi="ar-SA"/>
        </w:rPr>
      </w:pPr>
      <w:r w:rsidRPr="008E1F35">
        <w:rPr>
          <w:rFonts w:cs="Arial"/>
          <w:sz w:val="18"/>
          <w:szCs w:val="18"/>
          <w:lang w:eastAsia="en-GB" w:bidi="ar-SA"/>
        </w:rPr>
        <w:t>3 Calculated by probability analysis</w:t>
      </w:r>
      <w:r w:rsidR="00D81787">
        <w:rPr>
          <w:rFonts w:cs="Arial"/>
          <w:sz w:val="18"/>
          <w:szCs w:val="18"/>
          <w:lang w:eastAsia="en-GB" w:bidi="ar-SA"/>
        </w:rPr>
        <w:t>.</w:t>
      </w:r>
    </w:p>
    <w:p w14:paraId="3DF7505C" w14:textId="6CFCA18E" w:rsidR="00FE6FC6" w:rsidRPr="008E1F35" w:rsidRDefault="00FE6FC6" w:rsidP="008E1F35">
      <w:pPr>
        <w:widowControl/>
        <w:autoSpaceDE w:val="0"/>
        <w:autoSpaceDN w:val="0"/>
        <w:adjustRightInd w:val="0"/>
        <w:rPr>
          <w:rFonts w:cs="Arial"/>
          <w:sz w:val="18"/>
          <w:szCs w:val="18"/>
          <w:lang w:eastAsia="en-GB" w:bidi="ar-SA"/>
        </w:rPr>
      </w:pPr>
      <w:r>
        <w:rPr>
          <w:rFonts w:cs="Arial"/>
          <w:sz w:val="18"/>
          <w:szCs w:val="18"/>
          <w:lang w:eastAsia="en-GB" w:bidi="ar-SA"/>
        </w:rPr>
        <w:t xml:space="preserve">Source: </w:t>
      </w:r>
      <w:r w:rsidRPr="00FE6FC6">
        <w:rPr>
          <w:rFonts w:cs="Arial"/>
          <w:sz w:val="18"/>
          <w:szCs w:val="18"/>
          <w:lang w:eastAsia="en-GB" w:bidi="ar-SA"/>
        </w:rPr>
        <w:t>2008 NZ CNS, Ministry of Health (</w:t>
      </w:r>
      <w:r>
        <w:rPr>
          <w:rFonts w:cs="Arial"/>
          <w:sz w:val="18"/>
          <w:szCs w:val="18"/>
          <w:lang w:eastAsia="en-GB" w:bidi="ar-SA"/>
        </w:rPr>
        <w:t>2012)</w:t>
      </w:r>
      <w:r w:rsidR="00D81787">
        <w:rPr>
          <w:rFonts w:cs="Arial"/>
          <w:sz w:val="18"/>
          <w:szCs w:val="18"/>
          <w:lang w:eastAsia="en-GB" w:bidi="ar-SA"/>
        </w:rPr>
        <w:t>.</w:t>
      </w:r>
    </w:p>
    <w:p w14:paraId="472C9F01" w14:textId="77777777" w:rsidR="00E44ADF" w:rsidRPr="00D81787" w:rsidRDefault="00E44ADF" w:rsidP="008145B1">
      <w:pPr>
        <w:pStyle w:val="FSTableColumnRowheading"/>
        <w:rPr>
          <w:b w:val="0"/>
        </w:rPr>
      </w:pPr>
      <w:bookmarkStart w:id="956" w:name="_Ref50736741"/>
    </w:p>
    <w:p w14:paraId="4EB87067" w14:textId="77777777" w:rsidR="00E44ADF" w:rsidRDefault="00E44ADF">
      <w:pPr>
        <w:widowControl/>
        <w:rPr>
          <w:rFonts w:eastAsiaTheme="minorHAnsi" w:cstheme="minorBidi"/>
          <w:b/>
          <w:sz w:val="20"/>
          <w:szCs w:val="20"/>
          <w:lang w:bidi="ar-SA"/>
        </w:rPr>
      </w:pPr>
      <w:r>
        <w:br w:type="page"/>
      </w:r>
    </w:p>
    <w:p w14:paraId="5742A859" w14:textId="146280A0" w:rsidR="008145B1" w:rsidRDefault="008145B1" w:rsidP="008145B1">
      <w:pPr>
        <w:pStyle w:val="FSTableColumnRowheading"/>
      </w:pPr>
      <w:r w:rsidRPr="00C10032">
        <w:rPr>
          <w:i/>
        </w:rPr>
        <w:lastRenderedPageBreak/>
        <w:t xml:space="preserve">Table </w:t>
      </w:r>
      <w:bookmarkEnd w:id="956"/>
      <w:r w:rsidR="009329AD" w:rsidRPr="00C10032">
        <w:rPr>
          <w:i/>
        </w:rPr>
        <w:t>A</w:t>
      </w:r>
      <w:r w:rsidRPr="00C10032">
        <w:rPr>
          <w:i/>
        </w:rPr>
        <w:t>1.</w:t>
      </w:r>
      <w:r w:rsidR="00AC22B3" w:rsidRPr="00C10032">
        <w:rPr>
          <w:i/>
        </w:rPr>
        <w:t>4</w:t>
      </w:r>
      <w:r w:rsidR="00C10032">
        <w:rPr>
          <w:i/>
        </w:rPr>
        <w:t>.</w:t>
      </w:r>
      <w:r w:rsidR="00AC22B3">
        <w:t xml:space="preserve"> </w:t>
      </w:r>
      <w:r w:rsidRPr="00E038D3">
        <w:t xml:space="preserve"> Major food group contributions to dietary intakes of </w:t>
      </w:r>
      <w:r w:rsidR="00AC22B3">
        <w:t>n</w:t>
      </w:r>
      <w:r>
        <w:t>iacin</w:t>
      </w:r>
      <w:r w:rsidR="00AC22B3">
        <w:t xml:space="preserve"> equivalents</w:t>
      </w:r>
    </w:p>
    <w:tbl>
      <w:tblPr>
        <w:tblW w:w="8642" w:type="dxa"/>
        <w:tblLook w:val="04A0" w:firstRow="1" w:lastRow="0" w:firstColumn="1" w:lastColumn="0" w:noHBand="0" w:noVBand="1"/>
        <w:tblCaption w:val="Major food group contributions to dietary intakes of niacin equivalents"/>
        <w:tblDescription w:val="Table A1.4 has 4 columns, the first is the major food group, the second column is the percentage contributions of major food group to the niacin equivalent intakes of the Australians aged 2 years and above, the third column is the percentage contributions of  major food group to niacin equivalent intakes of New Zealand children 5-14 years. The last column is the percentage contributions of major food group to the niacin equivalent intakes of New Zealand adults 15 years and above."/>
      </w:tblPr>
      <w:tblGrid>
        <w:gridCol w:w="4390"/>
        <w:gridCol w:w="1417"/>
        <w:gridCol w:w="1276"/>
        <w:gridCol w:w="1559"/>
      </w:tblGrid>
      <w:tr w:rsidR="008145B1" w14:paraId="2EF3A988" w14:textId="298EFE0D" w:rsidTr="001B3BD4">
        <w:trPr>
          <w:trHeight w:val="283"/>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3413314" w14:textId="78E91694" w:rsidR="008145B1" w:rsidRDefault="008145B1" w:rsidP="001B3BD4">
            <w:pPr>
              <w:rPr>
                <w:rFonts w:cs="Arial"/>
                <w:color w:val="000000"/>
                <w:sz w:val="20"/>
                <w:szCs w:val="20"/>
                <w:lang w:eastAsia="en-GB"/>
              </w:rPr>
            </w:pPr>
          </w:p>
          <w:p w14:paraId="34A202DB" w14:textId="1DCDBC15" w:rsidR="008145B1" w:rsidRPr="008145B1" w:rsidRDefault="008145B1" w:rsidP="008145B1">
            <w:pPr>
              <w:rPr>
                <w:rFonts w:cs="Arial"/>
                <w:b/>
                <w:color w:val="000000" w:themeColor="text1"/>
                <w:sz w:val="20"/>
                <w:szCs w:val="20"/>
                <w:lang w:eastAsia="en-GB"/>
              </w:rPr>
            </w:pPr>
            <w:r w:rsidRPr="00EA0A4E">
              <w:rPr>
                <w:rFonts w:cs="Arial"/>
                <w:b/>
                <w:color w:val="000000" w:themeColor="text1"/>
                <w:sz w:val="20"/>
                <w:szCs w:val="20"/>
                <w:lang w:eastAsia="en-GB"/>
              </w:rPr>
              <w:t>Major food group</w:t>
            </w:r>
          </w:p>
        </w:tc>
        <w:tc>
          <w:tcPr>
            <w:tcW w:w="4252" w:type="dxa"/>
            <w:gridSpan w:val="3"/>
            <w:tcBorders>
              <w:top w:val="single" w:sz="4" w:space="0" w:color="auto"/>
              <w:left w:val="nil"/>
              <w:bottom w:val="single" w:sz="4" w:space="0" w:color="auto"/>
              <w:right w:val="single" w:sz="4" w:space="0" w:color="auto"/>
            </w:tcBorders>
            <w:shd w:val="clear" w:color="auto" w:fill="auto"/>
            <w:noWrap/>
            <w:vAlign w:val="bottom"/>
          </w:tcPr>
          <w:p w14:paraId="465466AC" w14:textId="456E0A53" w:rsidR="008145B1" w:rsidRDefault="008145B1" w:rsidP="001B3BD4">
            <w:pPr>
              <w:jc w:val="center"/>
              <w:rPr>
                <w:rFonts w:cs="Arial"/>
                <w:b/>
                <w:color w:val="000000"/>
                <w:sz w:val="20"/>
                <w:szCs w:val="20"/>
                <w:lang w:eastAsia="en-GB"/>
              </w:rPr>
            </w:pPr>
            <w:r w:rsidRPr="00EA0A4E">
              <w:rPr>
                <w:rFonts w:cs="Arial"/>
                <w:b/>
                <w:color w:val="000000"/>
                <w:sz w:val="20"/>
                <w:szCs w:val="20"/>
                <w:lang w:eastAsia="en-GB"/>
              </w:rPr>
              <w:t>Contribution (%)</w:t>
            </w:r>
            <w:r>
              <w:rPr>
                <w:rFonts w:cs="Arial"/>
                <w:b/>
                <w:color w:val="000000"/>
                <w:sz w:val="20"/>
                <w:szCs w:val="20"/>
                <w:lang w:eastAsia="en-GB"/>
              </w:rPr>
              <w:t>*</w:t>
            </w:r>
          </w:p>
        </w:tc>
      </w:tr>
      <w:tr w:rsidR="008145B1" w:rsidRPr="00D906D8" w14:paraId="3ED291D5" w14:textId="408A546B" w:rsidTr="001B3BD4">
        <w:trPr>
          <w:trHeight w:val="283"/>
        </w:trPr>
        <w:tc>
          <w:tcPr>
            <w:tcW w:w="4390" w:type="dxa"/>
            <w:vMerge/>
            <w:tcBorders>
              <w:top w:val="single" w:sz="4" w:space="0" w:color="auto"/>
              <w:left w:val="single" w:sz="4" w:space="0" w:color="auto"/>
              <w:bottom w:val="single" w:sz="4" w:space="0" w:color="auto"/>
              <w:right w:val="single" w:sz="4" w:space="0" w:color="auto"/>
            </w:tcBorders>
            <w:shd w:val="clear" w:color="auto" w:fill="auto"/>
            <w:vAlign w:val="bottom"/>
          </w:tcPr>
          <w:p w14:paraId="54BB801A" w14:textId="6DB501C6" w:rsidR="008145B1" w:rsidRPr="00EA0A4E" w:rsidRDefault="008145B1" w:rsidP="001B3BD4">
            <w:pPr>
              <w:rPr>
                <w:rFonts w:cs="Arial"/>
                <w:color w:val="000000"/>
                <w:sz w:val="20"/>
                <w:szCs w:val="20"/>
                <w:lang w:eastAsia="en-GB"/>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82E3A0A" w14:textId="5387C894" w:rsidR="008145B1" w:rsidRPr="00D906D8" w:rsidRDefault="008145B1" w:rsidP="001B3BD4">
            <w:pPr>
              <w:jc w:val="right"/>
              <w:rPr>
                <w:rFonts w:cs="Arial"/>
                <w:color w:val="000000"/>
                <w:sz w:val="20"/>
                <w:szCs w:val="20"/>
                <w:lang w:eastAsia="en-GB"/>
              </w:rPr>
            </w:pPr>
            <w:r w:rsidRPr="00EA0A4E">
              <w:rPr>
                <w:rFonts w:cs="Arial"/>
                <w:b/>
                <w:bCs/>
                <w:color w:val="000000"/>
                <w:sz w:val="20"/>
                <w:szCs w:val="20"/>
                <w:lang w:eastAsia="en-GB"/>
              </w:rPr>
              <w:t>Australia</w:t>
            </w:r>
            <w:r w:rsidRPr="00EA0A4E">
              <w:rPr>
                <w:rFonts w:cs="Arial"/>
                <w:b/>
                <w:bCs/>
                <w:color w:val="000000"/>
                <w:sz w:val="20"/>
                <w:szCs w:val="20"/>
                <w:lang w:eastAsia="en-GB"/>
              </w:rPr>
              <w:br/>
              <w:t xml:space="preserve">2 years and above </w:t>
            </w:r>
          </w:p>
        </w:tc>
        <w:tc>
          <w:tcPr>
            <w:tcW w:w="1276" w:type="dxa"/>
            <w:tcBorders>
              <w:top w:val="nil"/>
              <w:left w:val="nil"/>
              <w:bottom w:val="single" w:sz="4" w:space="0" w:color="auto"/>
              <w:right w:val="single" w:sz="4" w:space="0" w:color="auto"/>
            </w:tcBorders>
            <w:shd w:val="clear" w:color="auto" w:fill="auto"/>
            <w:vAlign w:val="bottom"/>
          </w:tcPr>
          <w:p w14:paraId="60756E3E" w14:textId="429DF9AE" w:rsidR="008145B1" w:rsidRPr="00D906D8" w:rsidRDefault="008145B1" w:rsidP="001B3BD4">
            <w:pPr>
              <w:jc w:val="right"/>
              <w:rPr>
                <w:rFonts w:cs="Arial"/>
                <w:color w:val="000000"/>
                <w:sz w:val="20"/>
                <w:szCs w:val="20"/>
                <w:lang w:eastAsia="en-GB"/>
              </w:rPr>
            </w:pPr>
            <w:r>
              <w:rPr>
                <w:rFonts w:cs="Arial"/>
                <w:b/>
                <w:color w:val="000000"/>
                <w:sz w:val="20"/>
                <w:szCs w:val="20"/>
                <w:lang w:eastAsia="en-GB"/>
              </w:rPr>
              <w:t>New Zealand</w:t>
            </w:r>
            <w:r>
              <w:rPr>
                <w:rFonts w:cs="Arial"/>
                <w:b/>
                <w:color w:val="000000"/>
                <w:sz w:val="20"/>
                <w:szCs w:val="20"/>
                <w:lang w:eastAsia="en-GB"/>
              </w:rPr>
              <w:br/>
            </w:r>
            <w:r w:rsidRPr="00EA0A4E">
              <w:rPr>
                <w:rFonts w:cs="Arial"/>
                <w:b/>
                <w:color w:val="000000"/>
                <w:sz w:val="20"/>
                <w:szCs w:val="20"/>
                <w:lang w:eastAsia="en-GB"/>
              </w:rPr>
              <w:t>5-14 years</w:t>
            </w:r>
          </w:p>
        </w:tc>
        <w:tc>
          <w:tcPr>
            <w:tcW w:w="1559" w:type="dxa"/>
            <w:tcBorders>
              <w:top w:val="nil"/>
              <w:left w:val="nil"/>
              <w:bottom w:val="single" w:sz="4" w:space="0" w:color="auto"/>
              <w:right w:val="single" w:sz="4" w:space="0" w:color="auto"/>
            </w:tcBorders>
            <w:shd w:val="clear" w:color="auto" w:fill="auto"/>
            <w:noWrap/>
            <w:vAlign w:val="bottom"/>
          </w:tcPr>
          <w:p w14:paraId="14132DD9" w14:textId="3D855E95" w:rsidR="008145B1" w:rsidRPr="00D906D8" w:rsidRDefault="008145B1" w:rsidP="001B3BD4">
            <w:pPr>
              <w:jc w:val="right"/>
              <w:rPr>
                <w:rFonts w:cs="Arial"/>
                <w:color w:val="000000"/>
                <w:sz w:val="20"/>
                <w:szCs w:val="20"/>
                <w:lang w:eastAsia="en-GB"/>
              </w:rPr>
            </w:pPr>
            <w:r>
              <w:rPr>
                <w:rFonts w:cs="Arial"/>
                <w:b/>
                <w:color w:val="000000"/>
                <w:sz w:val="20"/>
                <w:szCs w:val="20"/>
                <w:lang w:eastAsia="en-GB"/>
              </w:rPr>
              <w:t>New Zealand</w:t>
            </w:r>
            <w:r>
              <w:rPr>
                <w:rFonts w:cs="Arial"/>
                <w:b/>
                <w:color w:val="000000"/>
                <w:sz w:val="20"/>
                <w:szCs w:val="20"/>
                <w:lang w:eastAsia="en-GB"/>
              </w:rPr>
              <w:br/>
            </w:r>
            <w:r w:rsidRPr="00EA0A4E">
              <w:rPr>
                <w:rFonts w:cs="Arial"/>
                <w:b/>
                <w:color w:val="000000"/>
                <w:sz w:val="20"/>
                <w:szCs w:val="20"/>
                <w:lang w:eastAsia="en-GB"/>
              </w:rPr>
              <w:t>15 years and above</w:t>
            </w:r>
          </w:p>
        </w:tc>
      </w:tr>
      <w:tr w:rsidR="008145B1" w:rsidRPr="00D906D8" w14:paraId="7680537C" w14:textId="700B6309" w:rsidTr="00C76348">
        <w:trPr>
          <w:trHeight w:val="283"/>
        </w:trPr>
        <w:tc>
          <w:tcPr>
            <w:tcW w:w="4390" w:type="dxa"/>
            <w:tcBorders>
              <w:top w:val="nil"/>
              <w:left w:val="single" w:sz="4" w:space="0" w:color="auto"/>
              <w:bottom w:val="single" w:sz="4" w:space="0" w:color="auto"/>
              <w:right w:val="single" w:sz="4" w:space="0" w:color="auto"/>
            </w:tcBorders>
            <w:shd w:val="clear" w:color="auto" w:fill="auto"/>
            <w:hideMark/>
          </w:tcPr>
          <w:p w14:paraId="2F317478" w14:textId="15D561FE"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Non-alcoholic beverages</w:t>
            </w:r>
          </w:p>
        </w:tc>
        <w:tc>
          <w:tcPr>
            <w:tcW w:w="1417" w:type="dxa"/>
            <w:tcBorders>
              <w:top w:val="nil"/>
              <w:left w:val="nil"/>
              <w:bottom w:val="single" w:sz="4" w:space="0" w:color="auto"/>
              <w:right w:val="single" w:sz="4" w:space="0" w:color="auto"/>
            </w:tcBorders>
            <w:shd w:val="clear" w:color="auto" w:fill="auto"/>
            <w:noWrap/>
          </w:tcPr>
          <w:p w14:paraId="174DDC23" w14:textId="361D0DF0"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6.3</w:t>
            </w:r>
          </w:p>
        </w:tc>
        <w:tc>
          <w:tcPr>
            <w:tcW w:w="1276" w:type="dxa"/>
            <w:tcBorders>
              <w:top w:val="nil"/>
              <w:left w:val="nil"/>
              <w:bottom w:val="single" w:sz="4" w:space="0" w:color="auto"/>
              <w:right w:val="single" w:sz="4" w:space="0" w:color="auto"/>
            </w:tcBorders>
            <w:shd w:val="clear" w:color="auto" w:fill="auto"/>
          </w:tcPr>
          <w:p w14:paraId="2102FB91" w14:textId="13AC80AA"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NR</w:t>
            </w:r>
          </w:p>
        </w:tc>
        <w:tc>
          <w:tcPr>
            <w:tcW w:w="1559" w:type="dxa"/>
            <w:tcBorders>
              <w:top w:val="nil"/>
              <w:left w:val="nil"/>
              <w:bottom w:val="single" w:sz="4" w:space="0" w:color="auto"/>
              <w:right w:val="single" w:sz="4" w:space="0" w:color="auto"/>
            </w:tcBorders>
            <w:shd w:val="clear" w:color="auto" w:fill="auto"/>
            <w:noWrap/>
          </w:tcPr>
          <w:p w14:paraId="0A799CC8" w14:textId="5BD0B061"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7.6</w:t>
            </w:r>
          </w:p>
        </w:tc>
      </w:tr>
      <w:tr w:rsidR="008145B1" w:rsidRPr="00D906D8" w14:paraId="02DE04F7" w14:textId="0A9324F2" w:rsidTr="00C76348">
        <w:trPr>
          <w:trHeight w:val="283"/>
        </w:trPr>
        <w:tc>
          <w:tcPr>
            <w:tcW w:w="4390" w:type="dxa"/>
            <w:tcBorders>
              <w:top w:val="nil"/>
              <w:left w:val="single" w:sz="4" w:space="0" w:color="auto"/>
              <w:bottom w:val="single" w:sz="4" w:space="0" w:color="auto"/>
              <w:right w:val="single" w:sz="4" w:space="0" w:color="auto"/>
            </w:tcBorders>
            <w:shd w:val="clear" w:color="auto" w:fill="auto"/>
            <w:hideMark/>
          </w:tcPr>
          <w:p w14:paraId="340FAA0B" w14:textId="7FE33C63"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Cereals and cereal products</w:t>
            </w:r>
          </w:p>
        </w:tc>
        <w:tc>
          <w:tcPr>
            <w:tcW w:w="1417" w:type="dxa"/>
            <w:tcBorders>
              <w:top w:val="nil"/>
              <w:left w:val="nil"/>
              <w:bottom w:val="single" w:sz="4" w:space="0" w:color="auto"/>
              <w:right w:val="single" w:sz="4" w:space="0" w:color="auto"/>
            </w:tcBorders>
            <w:shd w:val="clear" w:color="auto" w:fill="auto"/>
            <w:noWrap/>
          </w:tcPr>
          <w:p w14:paraId="57FB3459" w14:textId="4B90A65D"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18.3</w:t>
            </w:r>
          </w:p>
        </w:tc>
        <w:tc>
          <w:tcPr>
            <w:tcW w:w="1276" w:type="dxa"/>
            <w:tcBorders>
              <w:top w:val="nil"/>
              <w:left w:val="nil"/>
              <w:bottom w:val="single" w:sz="4" w:space="0" w:color="auto"/>
              <w:right w:val="single" w:sz="4" w:space="0" w:color="auto"/>
            </w:tcBorders>
            <w:shd w:val="clear" w:color="auto" w:fill="auto"/>
          </w:tcPr>
          <w:p w14:paraId="2CDDC794" w14:textId="669CA962"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23</w:t>
            </w:r>
          </w:p>
        </w:tc>
        <w:tc>
          <w:tcPr>
            <w:tcW w:w="1559" w:type="dxa"/>
            <w:tcBorders>
              <w:top w:val="nil"/>
              <w:left w:val="nil"/>
              <w:bottom w:val="single" w:sz="4" w:space="0" w:color="auto"/>
              <w:right w:val="single" w:sz="4" w:space="0" w:color="auto"/>
            </w:tcBorders>
            <w:shd w:val="clear" w:color="auto" w:fill="auto"/>
            <w:noWrap/>
          </w:tcPr>
          <w:p w14:paraId="189AB9FE" w14:textId="5C036DAB"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24.5</w:t>
            </w:r>
          </w:p>
        </w:tc>
      </w:tr>
      <w:tr w:rsidR="008145B1" w:rsidRPr="00D906D8" w14:paraId="3195D504" w14:textId="6283E44A" w:rsidTr="00C76348">
        <w:trPr>
          <w:trHeight w:val="283"/>
        </w:trPr>
        <w:tc>
          <w:tcPr>
            <w:tcW w:w="4390" w:type="dxa"/>
            <w:tcBorders>
              <w:top w:val="nil"/>
              <w:left w:val="single" w:sz="4" w:space="0" w:color="auto"/>
              <w:bottom w:val="single" w:sz="4" w:space="0" w:color="auto"/>
              <w:right w:val="single" w:sz="4" w:space="0" w:color="auto"/>
            </w:tcBorders>
            <w:shd w:val="clear" w:color="auto" w:fill="auto"/>
            <w:hideMark/>
          </w:tcPr>
          <w:p w14:paraId="1A713A58" w14:textId="49FD1A00"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Cereal based products and dishes</w:t>
            </w:r>
          </w:p>
        </w:tc>
        <w:tc>
          <w:tcPr>
            <w:tcW w:w="1417" w:type="dxa"/>
            <w:tcBorders>
              <w:top w:val="nil"/>
              <w:left w:val="nil"/>
              <w:bottom w:val="single" w:sz="4" w:space="0" w:color="auto"/>
              <w:right w:val="single" w:sz="4" w:space="0" w:color="auto"/>
            </w:tcBorders>
            <w:shd w:val="clear" w:color="auto" w:fill="auto"/>
            <w:noWrap/>
          </w:tcPr>
          <w:p w14:paraId="04D807CF" w14:textId="0DDB53C9"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13.1</w:t>
            </w:r>
          </w:p>
        </w:tc>
        <w:tc>
          <w:tcPr>
            <w:tcW w:w="1276" w:type="dxa"/>
            <w:tcBorders>
              <w:top w:val="nil"/>
              <w:left w:val="nil"/>
              <w:bottom w:val="single" w:sz="4" w:space="0" w:color="auto"/>
              <w:right w:val="single" w:sz="4" w:space="0" w:color="auto"/>
            </w:tcBorders>
            <w:shd w:val="clear" w:color="auto" w:fill="auto"/>
          </w:tcPr>
          <w:p w14:paraId="6EB03F67" w14:textId="3229FB12"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4</w:t>
            </w:r>
          </w:p>
        </w:tc>
        <w:tc>
          <w:tcPr>
            <w:tcW w:w="1559" w:type="dxa"/>
            <w:tcBorders>
              <w:top w:val="nil"/>
              <w:left w:val="nil"/>
              <w:bottom w:val="single" w:sz="4" w:space="0" w:color="auto"/>
              <w:right w:val="single" w:sz="4" w:space="0" w:color="auto"/>
            </w:tcBorders>
            <w:shd w:val="clear" w:color="auto" w:fill="auto"/>
            <w:noWrap/>
          </w:tcPr>
          <w:p w14:paraId="7A7D3CE3" w14:textId="0F91AC19"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4.9</w:t>
            </w:r>
          </w:p>
        </w:tc>
      </w:tr>
      <w:tr w:rsidR="008145B1" w:rsidRPr="00D906D8" w14:paraId="7751B741" w14:textId="02B9AF0E" w:rsidTr="00C76348">
        <w:trPr>
          <w:trHeight w:val="283"/>
        </w:trPr>
        <w:tc>
          <w:tcPr>
            <w:tcW w:w="4390" w:type="dxa"/>
            <w:tcBorders>
              <w:top w:val="nil"/>
              <w:left w:val="single" w:sz="4" w:space="0" w:color="auto"/>
              <w:bottom w:val="single" w:sz="4" w:space="0" w:color="auto"/>
              <w:right w:val="single" w:sz="4" w:space="0" w:color="auto"/>
            </w:tcBorders>
            <w:shd w:val="clear" w:color="auto" w:fill="auto"/>
            <w:hideMark/>
          </w:tcPr>
          <w:p w14:paraId="5C19BA5E" w14:textId="78D9E756"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Fats and oils</w:t>
            </w:r>
          </w:p>
        </w:tc>
        <w:tc>
          <w:tcPr>
            <w:tcW w:w="1417" w:type="dxa"/>
            <w:tcBorders>
              <w:top w:val="nil"/>
              <w:left w:val="nil"/>
              <w:bottom w:val="single" w:sz="4" w:space="0" w:color="auto"/>
              <w:right w:val="single" w:sz="4" w:space="0" w:color="auto"/>
            </w:tcBorders>
            <w:shd w:val="clear" w:color="auto" w:fill="auto"/>
            <w:noWrap/>
          </w:tcPr>
          <w:p w14:paraId="620F7FAA" w14:textId="5A8CC321"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0.1</w:t>
            </w:r>
          </w:p>
        </w:tc>
        <w:tc>
          <w:tcPr>
            <w:tcW w:w="1276" w:type="dxa"/>
            <w:tcBorders>
              <w:top w:val="nil"/>
              <w:left w:val="nil"/>
              <w:bottom w:val="single" w:sz="4" w:space="0" w:color="auto"/>
              <w:right w:val="single" w:sz="4" w:space="0" w:color="auto"/>
            </w:tcBorders>
            <w:shd w:val="clear" w:color="auto" w:fill="auto"/>
          </w:tcPr>
          <w:p w14:paraId="07A17C98" w14:textId="6526B09D"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NR</w:t>
            </w:r>
          </w:p>
        </w:tc>
        <w:tc>
          <w:tcPr>
            <w:tcW w:w="1559" w:type="dxa"/>
            <w:tcBorders>
              <w:top w:val="nil"/>
              <w:left w:val="nil"/>
              <w:bottom w:val="single" w:sz="4" w:space="0" w:color="auto"/>
              <w:right w:val="single" w:sz="4" w:space="0" w:color="auto"/>
            </w:tcBorders>
            <w:shd w:val="clear" w:color="auto" w:fill="auto"/>
            <w:noWrap/>
          </w:tcPr>
          <w:p w14:paraId="593592E8" w14:textId="13FD928D" w:rsidR="008145B1" w:rsidRPr="006E5892" w:rsidRDefault="00AC22B3" w:rsidP="00C76348">
            <w:pPr>
              <w:jc w:val="right"/>
              <w:rPr>
                <w:rFonts w:cs="Arial"/>
                <w:color w:val="000000"/>
                <w:sz w:val="20"/>
                <w:szCs w:val="20"/>
                <w:lang w:eastAsia="en-GB"/>
              </w:rPr>
            </w:pPr>
            <w:r>
              <w:rPr>
                <w:rFonts w:cs="Arial"/>
                <w:color w:val="000000"/>
                <w:sz w:val="20"/>
                <w:szCs w:val="20"/>
                <w:lang w:eastAsia="en-GB"/>
              </w:rPr>
              <w:t>0</w:t>
            </w:r>
          </w:p>
        </w:tc>
      </w:tr>
      <w:tr w:rsidR="008145B1" w:rsidRPr="00D906D8" w14:paraId="102E28CF" w14:textId="0F47BBCA" w:rsidTr="00C76348">
        <w:trPr>
          <w:trHeight w:val="283"/>
        </w:trPr>
        <w:tc>
          <w:tcPr>
            <w:tcW w:w="4390" w:type="dxa"/>
            <w:tcBorders>
              <w:top w:val="nil"/>
              <w:left w:val="single" w:sz="4" w:space="0" w:color="auto"/>
              <w:bottom w:val="single" w:sz="4" w:space="0" w:color="auto"/>
              <w:right w:val="single" w:sz="4" w:space="0" w:color="auto"/>
            </w:tcBorders>
            <w:shd w:val="clear" w:color="auto" w:fill="auto"/>
            <w:hideMark/>
          </w:tcPr>
          <w:p w14:paraId="14F024D0" w14:textId="6B4C7A0E"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Fish and seafood products and dishes</w:t>
            </w:r>
          </w:p>
        </w:tc>
        <w:tc>
          <w:tcPr>
            <w:tcW w:w="1417" w:type="dxa"/>
            <w:tcBorders>
              <w:top w:val="nil"/>
              <w:left w:val="nil"/>
              <w:bottom w:val="single" w:sz="4" w:space="0" w:color="auto"/>
              <w:right w:val="single" w:sz="4" w:space="0" w:color="auto"/>
            </w:tcBorders>
            <w:shd w:val="clear" w:color="auto" w:fill="auto"/>
            <w:noWrap/>
          </w:tcPr>
          <w:p w14:paraId="5BC0FE20" w14:textId="6FF3625F"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5.0</w:t>
            </w:r>
          </w:p>
        </w:tc>
        <w:tc>
          <w:tcPr>
            <w:tcW w:w="1276" w:type="dxa"/>
            <w:tcBorders>
              <w:top w:val="nil"/>
              <w:left w:val="nil"/>
              <w:bottom w:val="single" w:sz="4" w:space="0" w:color="auto"/>
              <w:right w:val="single" w:sz="4" w:space="0" w:color="auto"/>
            </w:tcBorders>
            <w:shd w:val="clear" w:color="auto" w:fill="auto"/>
          </w:tcPr>
          <w:p w14:paraId="15E2052B" w14:textId="6711B6F1"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3</w:t>
            </w:r>
          </w:p>
        </w:tc>
        <w:tc>
          <w:tcPr>
            <w:tcW w:w="1559" w:type="dxa"/>
            <w:tcBorders>
              <w:top w:val="nil"/>
              <w:left w:val="nil"/>
              <w:bottom w:val="single" w:sz="4" w:space="0" w:color="auto"/>
              <w:right w:val="single" w:sz="4" w:space="0" w:color="auto"/>
            </w:tcBorders>
            <w:shd w:val="clear" w:color="auto" w:fill="auto"/>
            <w:noWrap/>
          </w:tcPr>
          <w:p w14:paraId="1AECF98C" w14:textId="2DA43310"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5.8</w:t>
            </w:r>
          </w:p>
        </w:tc>
      </w:tr>
      <w:tr w:rsidR="008145B1" w:rsidRPr="00D906D8" w14:paraId="39A2E7CB" w14:textId="23479C2E" w:rsidTr="00C76348">
        <w:trPr>
          <w:trHeight w:val="283"/>
        </w:trPr>
        <w:tc>
          <w:tcPr>
            <w:tcW w:w="4390" w:type="dxa"/>
            <w:tcBorders>
              <w:top w:val="nil"/>
              <w:left w:val="single" w:sz="4" w:space="0" w:color="auto"/>
              <w:bottom w:val="single" w:sz="4" w:space="0" w:color="auto"/>
              <w:right w:val="single" w:sz="4" w:space="0" w:color="auto"/>
            </w:tcBorders>
            <w:shd w:val="clear" w:color="auto" w:fill="auto"/>
            <w:hideMark/>
          </w:tcPr>
          <w:p w14:paraId="55E04279" w14:textId="4DFBF917"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Fruit products and dishes</w:t>
            </w:r>
          </w:p>
        </w:tc>
        <w:tc>
          <w:tcPr>
            <w:tcW w:w="1417" w:type="dxa"/>
            <w:tcBorders>
              <w:top w:val="nil"/>
              <w:left w:val="nil"/>
              <w:bottom w:val="single" w:sz="4" w:space="0" w:color="auto"/>
              <w:right w:val="single" w:sz="4" w:space="0" w:color="auto"/>
            </w:tcBorders>
            <w:shd w:val="clear" w:color="auto" w:fill="auto"/>
            <w:noWrap/>
          </w:tcPr>
          <w:p w14:paraId="1762FB6B" w14:textId="568FD6D9"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1.7</w:t>
            </w:r>
          </w:p>
        </w:tc>
        <w:tc>
          <w:tcPr>
            <w:tcW w:w="1276" w:type="dxa"/>
            <w:tcBorders>
              <w:top w:val="nil"/>
              <w:left w:val="nil"/>
              <w:bottom w:val="single" w:sz="4" w:space="0" w:color="auto"/>
              <w:right w:val="single" w:sz="4" w:space="0" w:color="auto"/>
            </w:tcBorders>
            <w:shd w:val="clear" w:color="auto" w:fill="auto"/>
          </w:tcPr>
          <w:p w14:paraId="4B53FB15" w14:textId="67322775"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NR</w:t>
            </w:r>
          </w:p>
        </w:tc>
        <w:tc>
          <w:tcPr>
            <w:tcW w:w="1559" w:type="dxa"/>
            <w:tcBorders>
              <w:top w:val="nil"/>
              <w:left w:val="nil"/>
              <w:bottom w:val="single" w:sz="4" w:space="0" w:color="auto"/>
              <w:right w:val="single" w:sz="4" w:space="0" w:color="auto"/>
            </w:tcBorders>
            <w:shd w:val="clear" w:color="auto" w:fill="auto"/>
            <w:noWrap/>
          </w:tcPr>
          <w:p w14:paraId="6FD42BD8" w14:textId="0A20B189"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2.8</w:t>
            </w:r>
          </w:p>
        </w:tc>
      </w:tr>
      <w:tr w:rsidR="008145B1" w:rsidRPr="00D906D8" w14:paraId="746FA3ED" w14:textId="62B6E071" w:rsidTr="00C76348">
        <w:trPr>
          <w:trHeight w:val="283"/>
        </w:trPr>
        <w:tc>
          <w:tcPr>
            <w:tcW w:w="4390" w:type="dxa"/>
            <w:tcBorders>
              <w:top w:val="nil"/>
              <w:left w:val="single" w:sz="4" w:space="0" w:color="auto"/>
              <w:bottom w:val="single" w:sz="4" w:space="0" w:color="auto"/>
              <w:right w:val="single" w:sz="4" w:space="0" w:color="auto"/>
            </w:tcBorders>
            <w:shd w:val="clear" w:color="auto" w:fill="auto"/>
            <w:noWrap/>
            <w:hideMark/>
          </w:tcPr>
          <w:p w14:paraId="39A326FF" w14:textId="0D3F4829"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Egg products and dishes</w:t>
            </w:r>
          </w:p>
        </w:tc>
        <w:tc>
          <w:tcPr>
            <w:tcW w:w="1417" w:type="dxa"/>
            <w:tcBorders>
              <w:top w:val="nil"/>
              <w:left w:val="nil"/>
              <w:bottom w:val="single" w:sz="4" w:space="0" w:color="auto"/>
              <w:right w:val="single" w:sz="4" w:space="0" w:color="auto"/>
            </w:tcBorders>
            <w:shd w:val="clear" w:color="auto" w:fill="auto"/>
            <w:noWrap/>
          </w:tcPr>
          <w:p w14:paraId="431BCCB8" w14:textId="4FC01041"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1.0</w:t>
            </w:r>
          </w:p>
        </w:tc>
        <w:tc>
          <w:tcPr>
            <w:tcW w:w="1276" w:type="dxa"/>
            <w:tcBorders>
              <w:top w:val="nil"/>
              <w:left w:val="nil"/>
              <w:bottom w:val="single" w:sz="4" w:space="0" w:color="auto"/>
              <w:right w:val="single" w:sz="4" w:space="0" w:color="auto"/>
            </w:tcBorders>
            <w:shd w:val="clear" w:color="auto" w:fill="auto"/>
            <w:noWrap/>
          </w:tcPr>
          <w:p w14:paraId="1C897EA5" w14:textId="163C72C5"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NR</w:t>
            </w:r>
          </w:p>
        </w:tc>
        <w:tc>
          <w:tcPr>
            <w:tcW w:w="1559" w:type="dxa"/>
            <w:tcBorders>
              <w:top w:val="nil"/>
              <w:left w:val="nil"/>
              <w:bottom w:val="single" w:sz="4" w:space="0" w:color="auto"/>
              <w:right w:val="single" w:sz="4" w:space="0" w:color="auto"/>
            </w:tcBorders>
            <w:shd w:val="clear" w:color="auto" w:fill="auto"/>
            <w:noWrap/>
          </w:tcPr>
          <w:p w14:paraId="61CC4493" w14:textId="280BAB49"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2.0</w:t>
            </w:r>
          </w:p>
        </w:tc>
      </w:tr>
      <w:tr w:rsidR="008145B1" w:rsidRPr="00D906D8" w14:paraId="2B90EB5D" w14:textId="6510754F" w:rsidTr="00C76348">
        <w:trPr>
          <w:trHeight w:val="283"/>
        </w:trPr>
        <w:tc>
          <w:tcPr>
            <w:tcW w:w="4390" w:type="dxa"/>
            <w:tcBorders>
              <w:top w:val="nil"/>
              <w:left w:val="single" w:sz="4" w:space="0" w:color="auto"/>
              <w:bottom w:val="single" w:sz="4" w:space="0" w:color="auto"/>
              <w:right w:val="single" w:sz="4" w:space="0" w:color="auto"/>
            </w:tcBorders>
            <w:shd w:val="clear" w:color="auto" w:fill="auto"/>
            <w:noWrap/>
            <w:hideMark/>
          </w:tcPr>
          <w:p w14:paraId="79F0A3D8" w14:textId="1CCD2F7C"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Meat, poultry and game products and dishes</w:t>
            </w:r>
          </w:p>
        </w:tc>
        <w:tc>
          <w:tcPr>
            <w:tcW w:w="1417" w:type="dxa"/>
            <w:tcBorders>
              <w:top w:val="nil"/>
              <w:left w:val="nil"/>
              <w:bottom w:val="single" w:sz="4" w:space="0" w:color="auto"/>
              <w:right w:val="single" w:sz="4" w:space="0" w:color="auto"/>
            </w:tcBorders>
            <w:shd w:val="clear" w:color="auto" w:fill="auto"/>
            <w:noWrap/>
          </w:tcPr>
          <w:p w14:paraId="1FCA9347" w14:textId="06A37920"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30.7</w:t>
            </w:r>
          </w:p>
        </w:tc>
        <w:tc>
          <w:tcPr>
            <w:tcW w:w="1276" w:type="dxa"/>
            <w:tcBorders>
              <w:top w:val="nil"/>
              <w:left w:val="nil"/>
              <w:bottom w:val="single" w:sz="4" w:space="0" w:color="auto"/>
              <w:right w:val="single" w:sz="4" w:space="0" w:color="auto"/>
            </w:tcBorders>
            <w:shd w:val="clear" w:color="auto" w:fill="auto"/>
            <w:noWrap/>
          </w:tcPr>
          <w:p w14:paraId="3980BD5F" w14:textId="486A6245"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19</w:t>
            </w:r>
          </w:p>
        </w:tc>
        <w:tc>
          <w:tcPr>
            <w:tcW w:w="1559" w:type="dxa"/>
            <w:tcBorders>
              <w:top w:val="nil"/>
              <w:left w:val="nil"/>
              <w:bottom w:val="single" w:sz="4" w:space="0" w:color="auto"/>
              <w:right w:val="single" w:sz="4" w:space="0" w:color="auto"/>
            </w:tcBorders>
            <w:shd w:val="clear" w:color="auto" w:fill="auto"/>
            <w:noWrap/>
          </w:tcPr>
          <w:p w14:paraId="1AEDB04B" w14:textId="3448B9E6"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25.3</w:t>
            </w:r>
          </w:p>
        </w:tc>
      </w:tr>
      <w:tr w:rsidR="008145B1" w:rsidRPr="00D906D8" w14:paraId="654442C0" w14:textId="12ECF5D8" w:rsidTr="00C76348">
        <w:trPr>
          <w:trHeight w:val="283"/>
        </w:trPr>
        <w:tc>
          <w:tcPr>
            <w:tcW w:w="4390" w:type="dxa"/>
            <w:tcBorders>
              <w:top w:val="nil"/>
              <w:left w:val="single" w:sz="4" w:space="0" w:color="auto"/>
              <w:bottom w:val="single" w:sz="4" w:space="0" w:color="auto"/>
              <w:right w:val="single" w:sz="4" w:space="0" w:color="auto"/>
            </w:tcBorders>
            <w:shd w:val="clear" w:color="auto" w:fill="auto"/>
            <w:noWrap/>
            <w:hideMark/>
          </w:tcPr>
          <w:p w14:paraId="71A21883" w14:textId="43713FDA"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Milk products and dishes</w:t>
            </w:r>
          </w:p>
        </w:tc>
        <w:tc>
          <w:tcPr>
            <w:tcW w:w="1417" w:type="dxa"/>
            <w:tcBorders>
              <w:top w:val="nil"/>
              <w:left w:val="nil"/>
              <w:bottom w:val="single" w:sz="4" w:space="0" w:color="auto"/>
              <w:right w:val="single" w:sz="4" w:space="0" w:color="auto"/>
            </w:tcBorders>
            <w:shd w:val="clear" w:color="auto" w:fill="auto"/>
            <w:noWrap/>
          </w:tcPr>
          <w:p w14:paraId="72934F99" w14:textId="6AAB541A"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7.4</w:t>
            </w:r>
          </w:p>
        </w:tc>
        <w:tc>
          <w:tcPr>
            <w:tcW w:w="1276" w:type="dxa"/>
            <w:tcBorders>
              <w:top w:val="nil"/>
              <w:left w:val="nil"/>
              <w:bottom w:val="single" w:sz="4" w:space="0" w:color="auto"/>
              <w:right w:val="single" w:sz="4" w:space="0" w:color="auto"/>
            </w:tcBorders>
            <w:shd w:val="clear" w:color="auto" w:fill="auto"/>
            <w:noWrap/>
          </w:tcPr>
          <w:p w14:paraId="1861A415" w14:textId="49C65557"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6</w:t>
            </w:r>
          </w:p>
        </w:tc>
        <w:tc>
          <w:tcPr>
            <w:tcW w:w="1559" w:type="dxa"/>
            <w:tcBorders>
              <w:top w:val="nil"/>
              <w:left w:val="nil"/>
              <w:bottom w:val="single" w:sz="4" w:space="0" w:color="auto"/>
              <w:right w:val="single" w:sz="4" w:space="0" w:color="auto"/>
            </w:tcBorders>
            <w:shd w:val="clear" w:color="auto" w:fill="auto"/>
            <w:noWrap/>
          </w:tcPr>
          <w:p w14:paraId="74E08B13" w14:textId="58C4DA06"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8.0</w:t>
            </w:r>
          </w:p>
        </w:tc>
      </w:tr>
      <w:tr w:rsidR="008145B1" w:rsidRPr="00D906D8" w14:paraId="7F188C66" w14:textId="153903DD" w:rsidTr="00C76348">
        <w:trPr>
          <w:trHeight w:val="283"/>
        </w:trPr>
        <w:tc>
          <w:tcPr>
            <w:tcW w:w="4390" w:type="dxa"/>
            <w:tcBorders>
              <w:top w:val="nil"/>
              <w:left w:val="single" w:sz="4" w:space="0" w:color="auto"/>
              <w:bottom w:val="single" w:sz="4" w:space="0" w:color="auto"/>
              <w:right w:val="single" w:sz="4" w:space="0" w:color="auto"/>
            </w:tcBorders>
            <w:shd w:val="clear" w:color="auto" w:fill="auto"/>
            <w:noWrap/>
            <w:hideMark/>
          </w:tcPr>
          <w:p w14:paraId="06C19A7E" w14:textId="27A014E5"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Dairy &amp; meat substitutes</w:t>
            </w:r>
          </w:p>
        </w:tc>
        <w:tc>
          <w:tcPr>
            <w:tcW w:w="1417" w:type="dxa"/>
            <w:tcBorders>
              <w:top w:val="nil"/>
              <w:left w:val="nil"/>
              <w:bottom w:val="single" w:sz="4" w:space="0" w:color="auto"/>
              <w:right w:val="single" w:sz="4" w:space="0" w:color="auto"/>
            </w:tcBorders>
            <w:shd w:val="clear" w:color="auto" w:fill="auto"/>
            <w:noWrap/>
          </w:tcPr>
          <w:p w14:paraId="4C5085FA" w14:textId="434E5C39"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0.2</w:t>
            </w:r>
          </w:p>
        </w:tc>
        <w:tc>
          <w:tcPr>
            <w:tcW w:w="1276" w:type="dxa"/>
            <w:tcBorders>
              <w:top w:val="nil"/>
              <w:left w:val="nil"/>
              <w:bottom w:val="single" w:sz="4" w:space="0" w:color="auto"/>
              <w:right w:val="single" w:sz="4" w:space="0" w:color="auto"/>
            </w:tcBorders>
            <w:shd w:val="clear" w:color="auto" w:fill="auto"/>
            <w:noWrap/>
          </w:tcPr>
          <w:p w14:paraId="4830961F" w14:textId="3034D80A"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NR</w:t>
            </w:r>
          </w:p>
        </w:tc>
        <w:tc>
          <w:tcPr>
            <w:tcW w:w="1559" w:type="dxa"/>
            <w:tcBorders>
              <w:top w:val="nil"/>
              <w:left w:val="nil"/>
              <w:bottom w:val="single" w:sz="4" w:space="0" w:color="auto"/>
              <w:right w:val="single" w:sz="4" w:space="0" w:color="auto"/>
            </w:tcBorders>
            <w:shd w:val="clear" w:color="auto" w:fill="auto"/>
            <w:noWrap/>
          </w:tcPr>
          <w:p w14:paraId="0AFBF5FC" w14:textId="7650CF98"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NR</w:t>
            </w:r>
          </w:p>
        </w:tc>
      </w:tr>
      <w:tr w:rsidR="008145B1" w:rsidRPr="00D906D8" w14:paraId="7AC19B67" w14:textId="2560E092" w:rsidTr="00C76348">
        <w:trPr>
          <w:trHeight w:val="283"/>
        </w:trPr>
        <w:tc>
          <w:tcPr>
            <w:tcW w:w="4390" w:type="dxa"/>
            <w:tcBorders>
              <w:top w:val="nil"/>
              <w:left w:val="single" w:sz="4" w:space="0" w:color="auto"/>
              <w:bottom w:val="single" w:sz="4" w:space="0" w:color="auto"/>
              <w:right w:val="single" w:sz="4" w:space="0" w:color="auto"/>
            </w:tcBorders>
            <w:shd w:val="clear" w:color="auto" w:fill="auto"/>
            <w:noWrap/>
            <w:hideMark/>
          </w:tcPr>
          <w:p w14:paraId="6BCF2CAC" w14:textId="475602B0"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Soup</w:t>
            </w:r>
          </w:p>
        </w:tc>
        <w:tc>
          <w:tcPr>
            <w:tcW w:w="1417" w:type="dxa"/>
            <w:tcBorders>
              <w:top w:val="nil"/>
              <w:left w:val="nil"/>
              <w:bottom w:val="single" w:sz="4" w:space="0" w:color="auto"/>
              <w:right w:val="single" w:sz="4" w:space="0" w:color="auto"/>
            </w:tcBorders>
            <w:shd w:val="clear" w:color="auto" w:fill="auto"/>
            <w:noWrap/>
          </w:tcPr>
          <w:p w14:paraId="05F1BA00" w14:textId="49B1E5C4"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1.4</w:t>
            </w:r>
          </w:p>
        </w:tc>
        <w:tc>
          <w:tcPr>
            <w:tcW w:w="1276" w:type="dxa"/>
            <w:tcBorders>
              <w:top w:val="nil"/>
              <w:left w:val="nil"/>
              <w:bottom w:val="single" w:sz="4" w:space="0" w:color="auto"/>
              <w:right w:val="single" w:sz="4" w:space="0" w:color="auto"/>
            </w:tcBorders>
            <w:shd w:val="clear" w:color="auto" w:fill="auto"/>
            <w:noWrap/>
          </w:tcPr>
          <w:p w14:paraId="25793AB0" w14:textId="48C86326"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NR</w:t>
            </w:r>
          </w:p>
        </w:tc>
        <w:tc>
          <w:tcPr>
            <w:tcW w:w="1559" w:type="dxa"/>
            <w:tcBorders>
              <w:top w:val="nil"/>
              <w:left w:val="nil"/>
              <w:bottom w:val="single" w:sz="4" w:space="0" w:color="auto"/>
              <w:right w:val="single" w:sz="4" w:space="0" w:color="auto"/>
            </w:tcBorders>
            <w:shd w:val="clear" w:color="auto" w:fill="auto"/>
            <w:noWrap/>
          </w:tcPr>
          <w:p w14:paraId="36CD3D9E" w14:textId="4A908591"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0.9</w:t>
            </w:r>
          </w:p>
        </w:tc>
      </w:tr>
      <w:tr w:rsidR="008145B1" w:rsidRPr="00D906D8" w14:paraId="55C8AB60" w14:textId="79F82061" w:rsidTr="00C76348">
        <w:trPr>
          <w:trHeight w:val="283"/>
        </w:trPr>
        <w:tc>
          <w:tcPr>
            <w:tcW w:w="4390" w:type="dxa"/>
            <w:tcBorders>
              <w:top w:val="nil"/>
              <w:left w:val="single" w:sz="4" w:space="0" w:color="auto"/>
              <w:bottom w:val="single" w:sz="4" w:space="0" w:color="auto"/>
              <w:right w:val="single" w:sz="4" w:space="0" w:color="auto"/>
            </w:tcBorders>
            <w:shd w:val="clear" w:color="auto" w:fill="auto"/>
            <w:noWrap/>
            <w:hideMark/>
          </w:tcPr>
          <w:p w14:paraId="7073C9C8" w14:textId="1094132A"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Seed and nut products and dishes</w:t>
            </w:r>
          </w:p>
        </w:tc>
        <w:tc>
          <w:tcPr>
            <w:tcW w:w="1417" w:type="dxa"/>
            <w:tcBorders>
              <w:top w:val="nil"/>
              <w:left w:val="nil"/>
              <w:bottom w:val="single" w:sz="4" w:space="0" w:color="auto"/>
              <w:right w:val="single" w:sz="4" w:space="0" w:color="auto"/>
            </w:tcBorders>
            <w:shd w:val="clear" w:color="auto" w:fill="auto"/>
            <w:noWrap/>
          </w:tcPr>
          <w:p w14:paraId="2510F82A" w14:textId="1BAFE8BC"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1.5</w:t>
            </w:r>
          </w:p>
        </w:tc>
        <w:tc>
          <w:tcPr>
            <w:tcW w:w="1276" w:type="dxa"/>
            <w:tcBorders>
              <w:top w:val="nil"/>
              <w:left w:val="nil"/>
              <w:bottom w:val="single" w:sz="4" w:space="0" w:color="auto"/>
              <w:right w:val="single" w:sz="4" w:space="0" w:color="auto"/>
            </w:tcBorders>
            <w:shd w:val="clear" w:color="auto" w:fill="auto"/>
            <w:noWrap/>
          </w:tcPr>
          <w:p w14:paraId="170D3C80" w14:textId="468029CC"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NR</w:t>
            </w:r>
          </w:p>
        </w:tc>
        <w:tc>
          <w:tcPr>
            <w:tcW w:w="1559" w:type="dxa"/>
            <w:tcBorders>
              <w:top w:val="nil"/>
              <w:left w:val="nil"/>
              <w:bottom w:val="single" w:sz="4" w:space="0" w:color="auto"/>
              <w:right w:val="single" w:sz="4" w:space="0" w:color="auto"/>
            </w:tcBorders>
            <w:shd w:val="clear" w:color="auto" w:fill="auto"/>
            <w:noWrap/>
          </w:tcPr>
          <w:p w14:paraId="71D6BAC9" w14:textId="3DD0451C"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1.6</w:t>
            </w:r>
          </w:p>
        </w:tc>
      </w:tr>
      <w:tr w:rsidR="008145B1" w:rsidRPr="00D906D8" w14:paraId="0F845798" w14:textId="35AD17C7" w:rsidTr="00C76348">
        <w:trPr>
          <w:trHeight w:val="283"/>
        </w:trPr>
        <w:tc>
          <w:tcPr>
            <w:tcW w:w="4390" w:type="dxa"/>
            <w:tcBorders>
              <w:top w:val="nil"/>
              <w:left w:val="single" w:sz="4" w:space="0" w:color="auto"/>
              <w:bottom w:val="single" w:sz="4" w:space="0" w:color="auto"/>
              <w:right w:val="single" w:sz="4" w:space="0" w:color="auto"/>
            </w:tcBorders>
            <w:shd w:val="clear" w:color="auto" w:fill="auto"/>
            <w:noWrap/>
            <w:hideMark/>
          </w:tcPr>
          <w:p w14:paraId="0E63738B" w14:textId="3EFF27F1"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Sauces, dips and condiments</w:t>
            </w:r>
          </w:p>
        </w:tc>
        <w:tc>
          <w:tcPr>
            <w:tcW w:w="1417" w:type="dxa"/>
            <w:tcBorders>
              <w:top w:val="nil"/>
              <w:left w:val="nil"/>
              <w:bottom w:val="single" w:sz="4" w:space="0" w:color="auto"/>
              <w:right w:val="single" w:sz="4" w:space="0" w:color="auto"/>
            </w:tcBorders>
            <w:shd w:val="clear" w:color="auto" w:fill="auto"/>
            <w:noWrap/>
          </w:tcPr>
          <w:p w14:paraId="18546408" w14:textId="5DAC2862"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0.3</w:t>
            </w:r>
          </w:p>
        </w:tc>
        <w:tc>
          <w:tcPr>
            <w:tcW w:w="1276" w:type="dxa"/>
            <w:tcBorders>
              <w:top w:val="nil"/>
              <w:left w:val="nil"/>
              <w:bottom w:val="single" w:sz="4" w:space="0" w:color="auto"/>
              <w:right w:val="single" w:sz="4" w:space="0" w:color="auto"/>
            </w:tcBorders>
            <w:shd w:val="clear" w:color="auto" w:fill="auto"/>
            <w:noWrap/>
          </w:tcPr>
          <w:p w14:paraId="788E33C9" w14:textId="30961DA8"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NR</w:t>
            </w:r>
          </w:p>
        </w:tc>
        <w:tc>
          <w:tcPr>
            <w:tcW w:w="1559" w:type="dxa"/>
            <w:tcBorders>
              <w:top w:val="nil"/>
              <w:left w:val="nil"/>
              <w:bottom w:val="single" w:sz="4" w:space="0" w:color="auto"/>
              <w:right w:val="single" w:sz="4" w:space="0" w:color="auto"/>
            </w:tcBorders>
            <w:shd w:val="clear" w:color="auto" w:fill="auto"/>
            <w:noWrap/>
          </w:tcPr>
          <w:p w14:paraId="02659EA8" w14:textId="09FC78A5"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1.8</w:t>
            </w:r>
          </w:p>
        </w:tc>
      </w:tr>
      <w:tr w:rsidR="008145B1" w:rsidRPr="00D906D8" w14:paraId="3C8C7846" w14:textId="544E2258" w:rsidTr="00C76348">
        <w:trPr>
          <w:trHeight w:val="283"/>
        </w:trPr>
        <w:tc>
          <w:tcPr>
            <w:tcW w:w="4390" w:type="dxa"/>
            <w:tcBorders>
              <w:top w:val="nil"/>
              <w:left w:val="single" w:sz="4" w:space="0" w:color="auto"/>
              <w:bottom w:val="single" w:sz="4" w:space="0" w:color="auto"/>
              <w:right w:val="single" w:sz="4" w:space="0" w:color="auto"/>
            </w:tcBorders>
            <w:shd w:val="clear" w:color="auto" w:fill="auto"/>
            <w:hideMark/>
          </w:tcPr>
          <w:p w14:paraId="63211D6A" w14:textId="3203B05E"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Vegetable products and dishes</w:t>
            </w:r>
            <w:r w:rsidRPr="0044412B">
              <w:rPr>
                <w:rFonts w:cs="Arial"/>
                <w:color w:val="000000"/>
                <w:sz w:val="20"/>
                <w:szCs w:val="20"/>
                <w:vertAlign w:val="superscript"/>
                <w:lang w:eastAsia="en-GB"/>
              </w:rPr>
              <w:t>#</w:t>
            </w:r>
          </w:p>
        </w:tc>
        <w:tc>
          <w:tcPr>
            <w:tcW w:w="1417" w:type="dxa"/>
            <w:tcBorders>
              <w:top w:val="nil"/>
              <w:left w:val="nil"/>
              <w:bottom w:val="single" w:sz="4" w:space="0" w:color="auto"/>
              <w:right w:val="single" w:sz="4" w:space="0" w:color="auto"/>
            </w:tcBorders>
            <w:shd w:val="clear" w:color="auto" w:fill="auto"/>
            <w:noWrap/>
          </w:tcPr>
          <w:p w14:paraId="08724906" w14:textId="5291E575"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6.4</w:t>
            </w:r>
          </w:p>
        </w:tc>
        <w:tc>
          <w:tcPr>
            <w:tcW w:w="1276" w:type="dxa"/>
            <w:tcBorders>
              <w:top w:val="nil"/>
              <w:left w:val="nil"/>
              <w:bottom w:val="single" w:sz="4" w:space="0" w:color="auto"/>
              <w:right w:val="single" w:sz="4" w:space="0" w:color="auto"/>
            </w:tcBorders>
            <w:shd w:val="clear" w:color="auto" w:fill="auto"/>
          </w:tcPr>
          <w:p w14:paraId="236812AB" w14:textId="421C9524"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7</w:t>
            </w:r>
          </w:p>
        </w:tc>
        <w:tc>
          <w:tcPr>
            <w:tcW w:w="1559" w:type="dxa"/>
            <w:tcBorders>
              <w:top w:val="nil"/>
              <w:left w:val="nil"/>
              <w:bottom w:val="single" w:sz="4" w:space="0" w:color="auto"/>
              <w:right w:val="single" w:sz="4" w:space="0" w:color="auto"/>
            </w:tcBorders>
            <w:shd w:val="clear" w:color="auto" w:fill="auto"/>
            <w:noWrap/>
          </w:tcPr>
          <w:p w14:paraId="6AA0F965" w14:textId="5D926589"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11.4</w:t>
            </w:r>
          </w:p>
        </w:tc>
      </w:tr>
      <w:tr w:rsidR="008145B1" w:rsidRPr="00D906D8" w14:paraId="236ADF62" w14:textId="6538A1C7" w:rsidTr="00C76348">
        <w:trPr>
          <w:trHeight w:val="283"/>
        </w:trPr>
        <w:tc>
          <w:tcPr>
            <w:tcW w:w="4390" w:type="dxa"/>
            <w:tcBorders>
              <w:top w:val="nil"/>
              <w:left w:val="single" w:sz="4" w:space="0" w:color="auto"/>
              <w:bottom w:val="single" w:sz="4" w:space="0" w:color="auto"/>
              <w:right w:val="single" w:sz="4" w:space="0" w:color="auto"/>
            </w:tcBorders>
            <w:shd w:val="clear" w:color="auto" w:fill="auto"/>
            <w:noWrap/>
            <w:hideMark/>
          </w:tcPr>
          <w:p w14:paraId="73EEF470" w14:textId="5488612F"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Legume and pulse products and dishes</w:t>
            </w:r>
          </w:p>
        </w:tc>
        <w:tc>
          <w:tcPr>
            <w:tcW w:w="1417" w:type="dxa"/>
            <w:tcBorders>
              <w:top w:val="nil"/>
              <w:left w:val="nil"/>
              <w:bottom w:val="single" w:sz="4" w:space="0" w:color="auto"/>
              <w:right w:val="nil"/>
            </w:tcBorders>
            <w:shd w:val="clear" w:color="auto" w:fill="auto"/>
            <w:noWrap/>
          </w:tcPr>
          <w:p w14:paraId="312452D1" w14:textId="0F053267"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0.3</w:t>
            </w:r>
          </w:p>
        </w:tc>
        <w:tc>
          <w:tcPr>
            <w:tcW w:w="1276" w:type="dxa"/>
            <w:tcBorders>
              <w:top w:val="nil"/>
              <w:left w:val="single" w:sz="4" w:space="0" w:color="auto"/>
              <w:bottom w:val="single" w:sz="4" w:space="0" w:color="auto"/>
              <w:right w:val="single" w:sz="4" w:space="0" w:color="auto"/>
            </w:tcBorders>
            <w:shd w:val="clear" w:color="auto" w:fill="auto"/>
            <w:noWrap/>
          </w:tcPr>
          <w:p w14:paraId="5989E594" w14:textId="556B433A"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NR</w:t>
            </w:r>
          </w:p>
        </w:tc>
        <w:tc>
          <w:tcPr>
            <w:tcW w:w="1559" w:type="dxa"/>
            <w:tcBorders>
              <w:top w:val="nil"/>
              <w:left w:val="nil"/>
              <w:bottom w:val="single" w:sz="4" w:space="0" w:color="auto"/>
              <w:right w:val="single" w:sz="4" w:space="0" w:color="auto"/>
            </w:tcBorders>
            <w:shd w:val="clear" w:color="auto" w:fill="auto"/>
            <w:noWrap/>
          </w:tcPr>
          <w:p w14:paraId="1A394DD0" w14:textId="0EFEEF8D"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NR</w:t>
            </w:r>
          </w:p>
        </w:tc>
      </w:tr>
      <w:tr w:rsidR="008145B1" w:rsidRPr="00D906D8" w14:paraId="35DEEB18" w14:textId="4512041C" w:rsidTr="00C76348">
        <w:trPr>
          <w:trHeight w:val="283"/>
        </w:trPr>
        <w:tc>
          <w:tcPr>
            <w:tcW w:w="4390" w:type="dxa"/>
            <w:tcBorders>
              <w:top w:val="nil"/>
              <w:left w:val="single" w:sz="4" w:space="0" w:color="auto"/>
              <w:bottom w:val="single" w:sz="4" w:space="0" w:color="auto"/>
              <w:right w:val="single" w:sz="4" w:space="0" w:color="auto"/>
            </w:tcBorders>
            <w:shd w:val="clear" w:color="auto" w:fill="auto"/>
            <w:noWrap/>
            <w:hideMark/>
          </w:tcPr>
          <w:p w14:paraId="56087CA1" w14:textId="48A339EA"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Snack foods</w:t>
            </w:r>
          </w:p>
        </w:tc>
        <w:tc>
          <w:tcPr>
            <w:tcW w:w="1417" w:type="dxa"/>
            <w:tcBorders>
              <w:top w:val="nil"/>
              <w:left w:val="nil"/>
              <w:bottom w:val="single" w:sz="4" w:space="0" w:color="auto"/>
              <w:right w:val="nil"/>
            </w:tcBorders>
            <w:shd w:val="clear" w:color="auto" w:fill="auto"/>
            <w:noWrap/>
          </w:tcPr>
          <w:p w14:paraId="1EA21803" w14:textId="38F1B20E"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0.4</w:t>
            </w:r>
          </w:p>
        </w:tc>
        <w:tc>
          <w:tcPr>
            <w:tcW w:w="1276" w:type="dxa"/>
            <w:tcBorders>
              <w:top w:val="nil"/>
              <w:left w:val="single" w:sz="4" w:space="0" w:color="auto"/>
              <w:bottom w:val="single" w:sz="4" w:space="0" w:color="auto"/>
              <w:right w:val="single" w:sz="4" w:space="0" w:color="auto"/>
            </w:tcBorders>
            <w:shd w:val="clear" w:color="auto" w:fill="auto"/>
            <w:noWrap/>
          </w:tcPr>
          <w:p w14:paraId="4B7FF7AB" w14:textId="2B489A14"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NR</w:t>
            </w:r>
          </w:p>
        </w:tc>
        <w:tc>
          <w:tcPr>
            <w:tcW w:w="1559" w:type="dxa"/>
            <w:tcBorders>
              <w:top w:val="nil"/>
              <w:left w:val="nil"/>
              <w:bottom w:val="single" w:sz="4" w:space="0" w:color="auto"/>
              <w:right w:val="single" w:sz="4" w:space="0" w:color="auto"/>
            </w:tcBorders>
            <w:shd w:val="clear" w:color="auto" w:fill="auto"/>
            <w:noWrap/>
          </w:tcPr>
          <w:p w14:paraId="074D2707" w14:textId="1B4BC6B0"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0.3</w:t>
            </w:r>
          </w:p>
        </w:tc>
      </w:tr>
      <w:tr w:rsidR="008145B1" w:rsidRPr="00D906D8" w14:paraId="3C1F778A" w14:textId="167E84C6" w:rsidTr="00C76348">
        <w:trPr>
          <w:trHeight w:val="283"/>
        </w:trPr>
        <w:tc>
          <w:tcPr>
            <w:tcW w:w="4390" w:type="dxa"/>
            <w:tcBorders>
              <w:top w:val="nil"/>
              <w:left w:val="single" w:sz="4" w:space="0" w:color="auto"/>
              <w:bottom w:val="single" w:sz="4" w:space="0" w:color="auto"/>
              <w:right w:val="single" w:sz="4" w:space="0" w:color="auto"/>
            </w:tcBorders>
            <w:shd w:val="clear" w:color="auto" w:fill="auto"/>
            <w:noWrap/>
            <w:hideMark/>
          </w:tcPr>
          <w:p w14:paraId="43EDD05C" w14:textId="5F348C86"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Sugar products and dishes</w:t>
            </w:r>
          </w:p>
        </w:tc>
        <w:tc>
          <w:tcPr>
            <w:tcW w:w="1417" w:type="dxa"/>
            <w:tcBorders>
              <w:top w:val="nil"/>
              <w:left w:val="nil"/>
              <w:bottom w:val="single" w:sz="4" w:space="0" w:color="auto"/>
              <w:right w:val="nil"/>
            </w:tcBorders>
            <w:shd w:val="clear" w:color="auto" w:fill="auto"/>
            <w:noWrap/>
          </w:tcPr>
          <w:p w14:paraId="155F2EB1" w14:textId="7DFFCF29"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0.0</w:t>
            </w:r>
          </w:p>
        </w:tc>
        <w:tc>
          <w:tcPr>
            <w:tcW w:w="1276" w:type="dxa"/>
            <w:tcBorders>
              <w:top w:val="nil"/>
              <w:left w:val="single" w:sz="4" w:space="0" w:color="auto"/>
              <w:bottom w:val="single" w:sz="4" w:space="0" w:color="auto"/>
              <w:right w:val="single" w:sz="4" w:space="0" w:color="auto"/>
            </w:tcBorders>
            <w:shd w:val="clear" w:color="auto" w:fill="auto"/>
            <w:noWrap/>
          </w:tcPr>
          <w:p w14:paraId="7F8F0AE6" w14:textId="59BB59F8"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NR</w:t>
            </w:r>
          </w:p>
        </w:tc>
        <w:tc>
          <w:tcPr>
            <w:tcW w:w="1559" w:type="dxa"/>
            <w:tcBorders>
              <w:top w:val="nil"/>
              <w:left w:val="nil"/>
              <w:bottom w:val="single" w:sz="4" w:space="0" w:color="auto"/>
              <w:right w:val="single" w:sz="4" w:space="0" w:color="auto"/>
            </w:tcBorders>
            <w:shd w:val="clear" w:color="auto" w:fill="auto"/>
            <w:noWrap/>
          </w:tcPr>
          <w:p w14:paraId="2DA20826" w14:textId="03776586"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0.6</w:t>
            </w:r>
          </w:p>
        </w:tc>
      </w:tr>
      <w:tr w:rsidR="008145B1" w:rsidRPr="00D906D8" w14:paraId="5352C7E5" w14:textId="77F5B517" w:rsidTr="00C76348">
        <w:trPr>
          <w:trHeight w:val="283"/>
        </w:trPr>
        <w:tc>
          <w:tcPr>
            <w:tcW w:w="4390" w:type="dxa"/>
            <w:tcBorders>
              <w:top w:val="nil"/>
              <w:left w:val="single" w:sz="4" w:space="0" w:color="auto"/>
              <w:bottom w:val="single" w:sz="4" w:space="0" w:color="auto"/>
              <w:right w:val="single" w:sz="4" w:space="0" w:color="auto"/>
            </w:tcBorders>
            <w:shd w:val="clear" w:color="auto" w:fill="auto"/>
            <w:noWrap/>
            <w:hideMark/>
          </w:tcPr>
          <w:p w14:paraId="1E39CBE4" w14:textId="500E5255"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Confectionery and cereal/nut/fruit/seed bars</w:t>
            </w:r>
          </w:p>
        </w:tc>
        <w:tc>
          <w:tcPr>
            <w:tcW w:w="1417" w:type="dxa"/>
            <w:tcBorders>
              <w:top w:val="nil"/>
              <w:left w:val="nil"/>
              <w:bottom w:val="single" w:sz="4" w:space="0" w:color="auto"/>
              <w:right w:val="nil"/>
            </w:tcBorders>
            <w:shd w:val="clear" w:color="auto" w:fill="auto"/>
            <w:noWrap/>
          </w:tcPr>
          <w:p w14:paraId="2A4FACBE" w14:textId="507968CF"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0.7</w:t>
            </w:r>
          </w:p>
        </w:tc>
        <w:tc>
          <w:tcPr>
            <w:tcW w:w="1276" w:type="dxa"/>
            <w:tcBorders>
              <w:top w:val="nil"/>
              <w:left w:val="single" w:sz="4" w:space="0" w:color="auto"/>
              <w:bottom w:val="single" w:sz="4" w:space="0" w:color="auto"/>
              <w:right w:val="single" w:sz="4" w:space="0" w:color="auto"/>
            </w:tcBorders>
            <w:shd w:val="clear" w:color="auto" w:fill="auto"/>
            <w:noWrap/>
          </w:tcPr>
          <w:p w14:paraId="4DA2B05E" w14:textId="5CB6B68C"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NR</w:t>
            </w:r>
          </w:p>
        </w:tc>
        <w:tc>
          <w:tcPr>
            <w:tcW w:w="1559" w:type="dxa"/>
            <w:tcBorders>
              <w:top w:val="nil"/>
              <w:left w:val="nil"/>
              <w:bottom w:val="single" w:sz="4" w:space="0" w:color="auto"/>
              <w:right w:val="single" w:sz="4" w:space="0" w:color="auto"/>
            </w:tcBorders>
            <w:shd w:val="clear" w:color="auto" w:fill="auto"/>
            <w:noWrap/>
          </w:tcPr>
          <w:p w14:paraId="7554DA97" w14:textId="68860188"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0.6</w:t>
            </w:r>
          </w:p>
        </w:tc>
      </w:tr>
      <w:tr w:rsidR="008145B1" w:rsidRPr="00D906D8" w14:paraId="00F9FB72" w14:textId="26712621" w:rsidTr="00C76348">
        <w:trPr>
          <w:trHeight w:val="283"/>
        </w:trPr>
        <w:tc>
          <w:tcPr>
            <w:tcW w:w="4390" w:type="dxa"/>
            <w:tcBorders>
              <w:top w:val="nil"/>
              <w:left w:val="single" w:sz="4" w:space="0" w:color="auto"/>
              <w:bottom w:val="single" w:sz="4" w:space="0" w:color="auto"/>
              <w:right w:val="single" w:sz="4" w:space="0" w:color="auto"/>
            </w:tcBorders>
            <w:shd w:val="clear" w:color="auto" w:fill="auto"/>
            <w:noWrap/>
            <w:hideMark/>
          </w:tcPr>
          <w:p w14:paraId="29CB6B8B" w14:textId="283128C5"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Alcoholic beverages</w:t>
            </w:r>
          </w:p>
        </w:tc>
        <w:tc>
          <w:tcPr>
            <w:tcW w:w="1417" w:type="dxa"/>
            <w:tcBorders>
              <w:top w:val="nil"/>
              <w:left w:val="nil"/>
              <w:bottom w:val="single" w:sz="4" w:space="0" w:color="auto"/>
              <w:right w:val="nil"/>
            </w:tcBorders>
            <w:shd w:val="clear" w:color="auto" w:fill="auto"/>
            <w:noWrap/>
          </w:tcPr>
          <w:p w14:paraId="7BE974AE" w14:textId="00F5D953"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1.5</w:t>
            </w:r>
          </w:p>
        </w:tc>
        <w:tc>
          <w:tcPr>
            <w:tcW w:w="1276" w:type="dxa"/>
            <w:tcBorders>
              <w:top w:val="nil"/>
              <w:left w:val="single" w:sz="4" w:space="0" w:color="auto"/>
              <w:bottom w:val="single" w:sz="4" w:space="0" w:color="auto"/>
              <w:right w:val="single" w:sz="4" w:space="0" w:color="auto"/>
            </w:tcBorders>
            <w:shd w:val="clear" w:color="auto" w:fill="auto"/>
            <w:noWrap/>
          </w:tcPr>
          <w:p w14:paraId="462E3876" w14:textId="729EEAC3"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NR</w:t>
            </w:r>
          </w:p>
        </w:tc>
        <w:tc>
          <w:tcPr>
            <w:tcW w:w="1559" w:type="dxa"/>
            <w:tcBorders>
              <w:top w:val="nil"/>
              <w:left w:val="nil"/>
              <w:bottom w:val="single" w:sz="4" w:space="0" w:color="auto"/>
              <w:right w:val="single" w:sz="4" w:space="0" w:color="auto"/>
            </w:tcBorders>
            <w:shd w:val="clear" w:color="auto" w:fill="auto"/>
            <w:noWrap/>
          </w:tcPr>
          <w:p w14:paraId="7638ED71" w14:textId="55A14216"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1.2</w:t>
            </w:r>
          </w:p>
        </w:tc>
      </w:tr>
      <w:tr w:rsidR="008145B1" w:rsidRPr="00D906D8" w14:paraId="43017234" w14:textId="00CACD57" w:rsidTr="00C76348">
        <w:trPr>
          <w:trHeight w:val="283"/>
        </w:trPr>
        <w:tc>
          <w:tcPr>
            <w:tcW w:w="4390" w:type="dxa"/>
            <w:tcBorders>
              <w:top w:val="single" w:sz="4" w:space="0" w:color="auto"/>
              <w:left w:val="single" w:sz="4" w:space="0" w:color="auto"/>
              <w:bottom w:val="single" w:sz="4" w:space="0" w:color="auto"/>
              <w:right w:val="single" w:sz="4" w:space="0" w:color="auto"/>
            </w:tcBorders>
            <w:shd w:val="clear" w:color="auto" w:fill="auto"/>
            <w:noWrap/>
            <w:hideMark/>
          </w:tcPr>
          <w:p w14:paraId="112FED67" w14:textId="5DD07530" w:rsidR="008145B1" w:rsidRPr="00EA0A4E" w:rsidRDefault="008145B1" w:rsidP="00C76348">
            <w:pPr>
              <w:rPr>
                <w:rFonts w:cs="Arial"/>
                <w:color w:val="000000"/>
                <w:sz w:val="20"/>
                <w:szCs w:val="20"/>
                <w:lang w:eastAsia="en-GB"/>
              </w:rPr>
            </w:pPr>
            <w:r w:rsidRPr="00EA0A4E">
              <w:rPr>
                <w:rFonts w:cs="Arial"/>
                <w:color w:val="000000"/>
                <w:sz w:val="20"/>
                <w:szCs w:val="20"/>
                <w:lang w:eastAsia="en-GB"/>
              </w:rPr>
              <w:t>Special dietary foods</w:t>
            </w:r>
          </w:p>
        </w:tc>
        <w:tc>
          <w:tcPr>
            <w:tcW w:w="1417" w:type="dxa"/>
            <w:tcBorders>
              <w:top w:val="single" w:sz="4" w:space="0" w:color="auto"/>
              <w:left w:val="nil"/>
              <w:bottom w:val="single" w:sz="4" w:space="0" w:color="auto"/>
              <w:right w:val="nil"/>
            </w:tcBorders>
            <w:shd w:val="clear" w:color="auto" w:fill="auto"/>
            <w:noWrap/>
          </w:tcPr>
          <w:p w14:paraId="76B3499B" w14:textId="212C8AEE"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0.7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71BA5B2" w14:textId="44DA93CB"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NR</w:t>
            </w:r>
          </w:p>
        </w:tc>
        <w:tc>
          <w:tcPr>
            <w:tcW w:w="1559" w:type="dxa"/>
            <w:tcBorders>
              <w:top w:val="single" w:sz="4" w:space="0" w:color="auto"/>
              <w:left w:val="nil"/>
              <w:bottom w:val="single" w:sz="4" w:space="0" w:color="auto"/>
              <w:right w:val="single" w:sz="4" w:space="0" w:color="auto"/>
            </w:tcBorders>
            <w:shd w:val="clear" w:color="auto" w:fill="auto"/>
            <w:noWrap/>
          </w:tcPr>
          <w:p w14:paraId="5AB092ED" w14:textId="1064A997" w:rsidR="008145B1" w:rsidRPr="006E5892" w:rsidRDefault="008145B1" w:rsidP="00C76348">
            <w:pPr>
              <w:jc w:val="right"/>
              <w:rPr>
                <w:rFonts w:cs="Arial"/>
                <w:color w:val="000000"/>
                <w:sz w:val="20"/>
                <w:szCs w:val="20"/>
                <w:lang w:eastAsia="en-GB"/>
              </w:rPr>
            </w:pPr>
            <w:r w:rsidRPr="006E5892">
              <w:rPr>
                <w:rFonts w:cs="Arial"/>
                <w:color w:val="000000"/>
                <w:sz w:val="20"/>
                <w:szCs w:val="20"/>
                <w:lang w:eastAsia="en-GB"/>
              </w:rPr>
              <w:t>0.4</w:t>
            </w:r>
          </w:p>
        </w:tc>
      </w:tr>
    </w:tbl>
    <w:p w14:paraId="29870225" w14:textId="6893F3F0" w:rsidR="008145B1" w:rsidRPr="00D63E51" w:rsidRDefault="008145B1" w:rsidP="008145B1">
      <w:pPr>
        <w:widowControl/>
        <w:rPr>
          <w:rFonts w:cs="Arial"/>
          <w:color w:val="000000" w:themeColor="text1"/>
          <w:sz w:val="18"/>
          <w:szCs w:val="22"/>
          <w:lang w:eastAsia="en-GB" w:bidi="ar-SA"/>
        </w:rPr>
      </w:pPr>
      <w:r w:rsidRPr="007E28BA">
        <w:rPr>
          <w:rFonts w:cs="Arial"/>
          <w:color w:val="000000" w:themeColor="text1"/>
          <w:sz w:val="18"/>
          <w:szCs w:val="22"/>
          <w:lang w:eastAsia="en-GB" w:bidi="ar-SA"/>
        </w:rPr>
        <w:t>NR: Not reported</w:t>
      </w:r>
      <w:r>
        <w:rPr>
          <w:rFonts w:cs="Arial"/>
          <w:color w:val="000000" w:themeColor="text1"/>
          <w:sz w:val="18"/>
          <w:szCs w:val="22"/>
          <w:lang w:eastAsia="en-GB" w:bidi="ar-SA"/>
        </w:rPr>
        <w:t>.</w:t>
      </w:r>
    </w:p>
    <w:p w14:paraId="3B6A0355" w14:textId="7528D87F" w:rsidR="008145B1" w:rsidRPr="000D0B5E" w:rsidRDefault="008145B1" w:rsidP="008145B1">
      <w:pPr>
        <w:rPr>
          <w:rFonts w:cs="Arial"/>
          <w:color w:val="000000" w:themeColor="text1"/>
          <w:sz w:val="18"/>
          <w:szCs w:val="22"/>
          <w:lang w:eastAsia="en-GB" w:bidi="ar-SA"/>
        </w:rPr>
      </w:pPr>
      <w:r>
        <w:t xml:space="preserve">* </w:t>
      </w:r>
      <w:r>
        <w:rPr>
          <w:rFonts w:cs="Arial"/>
          <w:color w:val="000000" w:themeColor="text1"/>
          <w:sz w:val="18"/>
          <w:szCs w:val="22"/>
          <w:lang w:eastAsia="en-GB" w:bidi="ar-SA"/>
        </w:rPr>
        <w:t>D</w:t>
      </w:r>
      <w:r w:rsidRPr="000D0B5E">
        <w:rPr>
          <w:rFonts w:cs="Arial"/>
          <w:color w:val="000000" w:themeColor="text1"/>
          <w:sz w:val="18"/>
          <w:szCs w:val="22"/>
          <w:lang w:eastAsia="en-GB" w:bidi="ar-SA"/>
        </w:rPr>
        <w:t xml:space="preserve">ata are presented on an all respondents basis and data </w:t>
      </w:r>
      <w:r>
        <w:rPr>
          <w:rFonts w:cs="Arial"/>
          <w:color w:val="000000" w:themeColor="text1"/>
          <w:sz w:val="18"/>
          <w:szCs w:val="22"/>
          <w:lang w:eastAsia="en-GB" w:bidi="ar-SA"/>
        </w:rPr>
        <w:t>for</w:t>
      </w:r>
      <w:r w:rsidRPr="000D0B5E">
        <w:rPr>
          <w:rFonts w:cs="Arial"/>
          <w:color w:val="000000" w:themeColor="text1"/>
          <w:sz w:val="18"/>
          <w:szCs w:val="22"/>
          <w:lang w:eastAsia="en-GB" w:bidi="ar-SA"/>
        </w:rPr>
        <w:t xml:space="preserve"> day 1 are presented for all surveys</w:t>
      </w:r>
      <w:r>
        <w:rPr>
          <w:rFonts w:cs="Arial"/>
          <w:color w:val="000000" w:themeColor="text1"/>
          <w:sz w:val="18"/>
          <w:szCs w:val="22"/>
          <w:lang w:eastAsia="en-GB" w:bidi="ar-SA"/>
        </w:rPr>
        <w:t>.</w:t>
      </w:r>
    </w:p>
    <w:p w14:paraId="6D0EAF10" w14:textId="79A3821C" w:rsidR="008145B1" w:rsidRDefault="008145B1" w:rsidP="008145B1">
      <w:pPr>
        <w:rPr>
          <w:rFonts w:cs="Arial"/>
          <w:color w:val="000000" w:themeColor="text1"/>
          <w:sz w:val="18"/>
          <w:szCs w:val="22"/>
          <w:lang w:eastAsia="en-GB" w:bidi="ar-SA"/>
        </w:rPr>
      </w:pPr>
      <w:r w:rsidRPr="0044412B">
        <w:rPr>
          <w:rFonts w:cs="Arial"/>
          <w:color w:val="000000"/>
          <w:sz w:val="20"/>
          <w:szCs w:val="20"/>
          <w:vertAlign w:val="superscript"/>
          <w:lang w:eastAsia="en-GB"/>
        </w:rPr>
        <w:t>#</w:t>
      </w:r>
      <w:r w:rsidRPr="00163064">
        <w:rPr>
          <w:rFonts w:cs="Arial"/>
          <w:color w:val="000000" w:themeColor="text1"/>
          <w:sz w:val="18"/>
          <w:szCs w:val="22"/>
          <w:lang w:eastAsia="en-GB" w:bidi="ar-SA"/>
        </w:rPr>
        <w:t xml:space="preserve"> Two categories for New Zealand data were combined which were ‘vegetables’ and ‘potatoes, kumara and taro’</w:t>
      </w:r>
      <w:r w:rsidR="00AE20A9">
        <w:rPr>
          <w:rFonts w:cs="Arial"/>
          <w:color w:val="000000" w:themeColor="text1"/>
          <w:sz w:val="18"/>
          <w:szCs w:val="22"/>
          <w:lang w:eastAsia="en-GB" w:bidi="ar-SA"/>
        </w:rPr>
        <w:t>.</w:t>
      </w:r>
    </w:p>
    <w:p w14:paraId="3AFA6F38" w14:textId="10C3590C" w:rsidR="00AE20A9" w:rsidRDefault="00AE20A9" w:rsidP="008145B1"/>
    <w:p w14:paraId="5A266D1E" w14:textId="77777777" w:rsidR="00AE20A9" w:rsidRPr="003A01FB" w:rsidRDefault="00AE20A9" w:rsidP="008145B1"/>
    <w:sectPr w:rsidR="00AE20A9" w:rsidRPr="003A01FB" w:rsidSect="0054272D">
      <w:headerReference w:type="even" r:id="rId46"/>
      <w:headerReference w:type="default" r:id="rId47"/>
      <w:footerReference w:type="even" r:id="rId48"/>
      <w:footerReference w:type="default" r:id="rId49"/>
      <w:headerReference w:type="first" r:id="rId50"/>
      <w:footerReference w:type="first" r:id="rId51"/>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EE053" w14:textId="77777777" w:rsidR="005E5572" w:rsidRDefault="005E5572">
      <w:r>
        <w:separator/>
      </w:r>
    </w:p>
  </w:endnote>
  <w:endnote w:type="continuationSeparator" w:id="0">
    <w:p w14:paraId="0EF91030" w14:textId="77777777" w:rsidR="005E5572" w:rsidRDefault="005E5572">
      <w:r>
        <w:continuationSeparator/>
      </w:r>
    </w:p>
  </w:endnote>
  <w:endnote w:type="continuationNotice" w:id="1">
    <w:p w14:paraId="7B371D4B" w14:textId="77777777" w:rsidR="005E5572" w:rsidRDefault="005E5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742D5613" w:rsidR="005E5572" w:rsidRDefault="005E5572" w:rsidP="00C926B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5E5572" w:rsidRDefault="005E5572" w:rsidP="00181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2C495D02" w:rsidR="005E5572" w:rsidRDefault="005E557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4801">
      <w:rPr>
        <w:rStyle w:val="PageNumber"/>
        <w:noProof/>
      </w:rPr>
      <w:t>iii</w:t>
    </w:r>
    <w:r>
      <w:rPr>
        <w:rStyle w:val="PageNumber"/>
      </w:rPr>
      <w:fldChar w:fldCharType="end"/>
    </w:r>
  </w:p>
  <w:p w14:paraId="7C4636D5" w14:textId="77777777" w:rsidR="005E5572" w:rsidRDefault="005E5572" w:rsidP="001814C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F3D88" w14:textId="6587F34C" w:rsidR="005E5572" w:rsidRDefault="005E5572" w:rsidP="00CB4C6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D686991" w14:textId="77777777" w:rsidR="005E5572" w:rsidRDefault="005E5572" w:rsidP="007855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421969"/>
      <w:docPartObj>
        <w:docPartGallery w:val="Page Numbers (Bottom of Page)"/>
        <w:docPartUnique/>
      </w:docPartObj>
    </w:sdtPr>
    <w:sdtEndPr>
      <w:rPr>
        <w:noProof/>
      </w:rPr>
    </w:sdtEndPr>
    <w:sdtContent>
      <w:p w14:paraId="28DF3A55" w14:textId="30529314" w:rsidR="005E5572" w:rsidRDefault="005E5572">
        <w:pPr>
          <w:pStyle w:val="Footer"/>
          <w:jc w:val="right"/>
        </w:pPr>
        <w:r>
          <w:fldChar w:fldCharType="begin"/>
        </w:r>
        <w:r>
          <w:instrText xml:space="preserve"> PAGE   \* MERGEFORMAT </w:instrText>
        </w:r>
        <w:r>
          <w:fldChar w:fldCharType="separate"/>
        </w:r>
        <w:r w:rsidR="00B94801">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F5AFC" w14:textId="07BD5947" w:rsidR="005E5572" w:rsidRPr="00785570" w:rsidRDefault="005E5572" w:rsidP="00785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A40B5" w14:textId="77777777" w:rsidR="005E5572" w:rsidRDefault="005E5572">
      <w:r>
        <w:separator/>
      </w:r>
    </w:p>
  </w:footnote>
  <w:footnote w:type="continuationSeparator" w:id="0">
    <w:p w14:paraId="11CDF1B3" w14:textId="77777777" w:rsidR="005E5572" w:rsidRDefault="005E5572">
      <w:r>
        <w:continuationSeparator/>
      </w:r>
    </w:p>
  </w:footnote>
  <w:footnote w:type="continuationNotice" w:id="1">
    <w:p w14:paraId="2E4667C6" w14:textId="77777777" w:rsidR="005E5572" w:rsidRDefault="005E5572"/>
  </w:footnote>
  <w:footnote w:id="2">
    <w:p w14:paraId="0AD17300" w14:textId="31DEFA67" w:rsidR="005E5572" w:rsidRPr="00BB1DB8" w:rsidRDefault="005E5572">
      <w:pPr>
        <w:pStyle w:val="FootnoteText"/>
        <w:rPr>
          <w:lang w:val="en-AU"/>
        </w:rPr>
      </w:pPr>
      <w:r>
        <w:rPr>
          <w:rStyle w:val="FootnoteReference"/>
        </w:rPr>
        <w:footnoteRef/>
      </w:r>
      <w:r>
        <w:t xml:space="preserve"> </w:t>
      </w:r>
      <w:r>
        <w:rPr>
          <w:lang w:val="en-AU"/>
        </w:rPr>
        <w:t>GCP: Good Clinical Practice</w:t>
      </w:r>
    </w:p>
  </w:footnote>
  <w:footnote w:id="3">
    <w:p w14:paraId="71B6C708" w14:textId="4A841EA3" w:rsidR="005E5572" w:rsidRPr="00BB1DB8" w:rsidRDefault="005E5572">
      <w:pPr>
        <w:pStyle w:val="FootnoteText"/>
        <w:rPr>
          <w:lang w:val="en-AU"/>
        </w:rPr>
      </w:pPr>
      <w:r>
        <w:rPr>
          <w:rStyle w:val="FootnoteReference"/>
        </w:rPr>
        <w:footnoteRef/>
      </w:r>
      <w:r>
        <w:t xml:space="preserve"> </w:t>
      </w:r>
      <w:r>
        <w:rPr>
          <w:lang w:val="en-AU"/>
        </w:rPr>
        <w:t>GLP: Good Laboratory Practice</w:t>
      </w:r>
    </w:p>
  </w:footnote>
  <w:footnote w:id="4">
    <w:p w14:paraId="3B1FBE01" w14:textId="77777777" w:rsidR="005E5572" w:rsidRDefault="005E5572" w:rsidP="002F7125">
      <w:pPr>
        <w:pStyle w:val="FootnoteText"/>
      </w:pPr>
      <w:r>
        <w:rPr>
          <w:rStyle w:val="FootnoteReference"/>
        </w:rPr>
        <w:footnoteRef/>
      </w:r>
      <w:r>
        <w:t xml:space="preserve"> </w:t>
      </w:r>
      <w:hyperlink r:id="rId1" w:history="1">
        <w:r w:rsidRPr="002023E3">
          <w:rPr>
            <w:rStyle w:val="Hyperlink"/>
          </w:rPr>
          <w:t>https://eur-lex.europa.eu/legal-content/EN/TXT/PDF/?uri=CELEX:32020R0016&amp;from=EN</w:t>
        </w:r>
      </w:hyperlink>
    </w:p>
    <w:p w14:paraId="4BC90F6B" w14:textId="77777777" w:rsidR="005E5572" w:rsidRPr="006F4B45" w:rsidRDefault="005E5572" w:rsidP="002F7125">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7B6B2B6A" w:rsidR="005E5572" w:rsidRDefault="005E5572">
    <w:pPr>
      <w:pStyle w:val="Header"/>
      <w:jc w:val="center"/>
      <w:rPr>
        <w:b/>
        <w:bCs/>
      </w:rPr>
    </w:pPr>
    <w:r>
      <w:rPr>
        <w:b/>
        <w:bCs/>
      </w:rPr>
      <w:t>BOARD-IN-CONFIDENCE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B040" w14:textId="55602C9A" w:rsidR="005E5572" w:rsidRPr="00785570" w:rsidRDefault="005E5572" w:rsidP="00785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F08A3" w14:textId="6801FA23" w:rsidR="005E5572" w:rsidRPr="00785570" w:rsidRDefault="005E5572" w:rsidP="007855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1B3B1" w14:textId="77777777" w:rsidR="005E5572" w:rsidRDefault="005E5572">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12DC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752F5"/>
    <w:multiLevelType w:val="hybridMultilevel"/>
    <w:tmpl w:val="A2C03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11AD7"/>
    <w:multiLevelType w:val="hybridMultilevel"/>
    <w:tmpl w:val="C0701BA8"/>
    <w:lvl w:ilvl="0" w:tplc="4ABC68D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8291B"/>
    <w:multiLevelType w:val="multilevel"/>
    <w:tmpl w:val="B3123E44"/>
    <w:lvl w:ilvl="0">
      <w:start w:val="1"/>
      <w:numFmt w:val="decimal"/>
      <w:lvlText w:val="%1."/>
      <w:lvlJc w:val="left"/>
      <w:pPr>
        <w:ind w:left="567" w:hanging="567"/>
      </w:pPr>
      <w:rPr>
        <w:rFonts w:hint="default"/>
      </w:rPr>
    </w:lvl>
    <w:lvl w:ilvl="1">
      <w:start w:val="1"/>
      <w:numFmt w:val="decimal"/>
      <w:lvlText w:val="%1.%2."/>
      <w:lvlJc w:val="left"/>
      <w:pPr>
        <w:ind w:left="924" w:hanging="924"/>
      </w:pPr>
      <w:rPr>
        <w:rFonts w:hint="default"/>
      </w:rPr>
    </w:lvl>
    <w:lvl w:ilvl="2">
      <w:start w:val="1"/>
      <w:numFmt w:val="decimal"/>
      <w:lvlText w:val="%1.%2.%3."/>
      <w:lvlJc w:val="left"/>
      <w:pPr>
        <w:ind w:left="1281" w:hanging="1281"/>
      </w:pPr>
      <w:rPr>
        <w:rFonts w:hint="default"/>
      </w:rPr>
    </w:lvl>
    <w:lvl w:ilvl="3">
      <w:start w:val="1"/>
      <w:numFmt w:val="decimal"/>
      <w:lvlText w:val="%1.%2.%3.%4."/>
      <w:lvlJc w:val="left"/>
      <w:pPr>
        <w:ind w:left="1638" w:hanging="1638"/>
      </w:pPr>
      <w:rPr>
        <w:rFonts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abstractNum w:abstractNumId="4"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7263098"/>
    <w:multiLevelType w:val="hybridMultilevel"/>
    <w:tmpl w:val="E4AE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D70A4"/>
    <w:multiLevelType w:val="multilevel"/>
    <w:tmpl w:val="804A0A4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0C5711"/>
    <w:multiLevelType w:val="multilevel"/>
    <w:tmpl w:val="06D20E3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b/>
        <w:i/>
        <w:color w:val="auto"/>
      </w:rPr>
    </w:lvl>
    <w:lvl w:ilvl="3">
      <w:start w:val="1"/>
      <w:numFmt w:val="decimal"/>
      <w:lvlText w:val="%1.%2.%3.%4"/>
      <w:lvlJc w:val="left"/>
      <w:pPr>
        <w:ind w:left="1080" w:hanging="1080"/>
      </w:pPr>
      <w:rPr>
        <w:rFonts w:hint="default"/>
        <w:b w:val="0"/>
        <w:i/>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093D4C"/>
    <w:multiLevelType w:val="multilevel"/>
    <w:tmpl w:val="7494B60A"/>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E92A09"/>
    <w:multiLevelType w:val="multilevel"/>
    <w:tmpl w:val="C54C6F8E"/>
    <w:lvl w:ilvl="0">
      <w:start w:val="4"/>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1" w15:restartNumberingAfterBreak="0">
    <w:nsid w:val="2A215E85"/>
    <w:multiLevelType w:val="multilevel"/>
    <w:tmpl w:val="A5308B0E"/>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11E0391"/>
    <w:multiLevelType w:val="hybridMultilevel"/>
    <w:tmpl w:val="F438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E64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4612039"/>
    <w:multiLevelType w:val="hybridMultilevel"/>
    <w:tmpl w:val="21C27DE6"/>
    <w:lvl w:ilvl="0" w:tplc="B1E2A554">
      <w:start w:val="4"/>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B6F1D"/>
    <w:multiLevelType w:val="hybridMultilevel"/>
    <w:tmpl w:val="949819EE"/>
    <w:lvl w:ilvl="0" w:tplc="1D8C0956">
      <w:start w:val="6"/>
      <w:numFmt w:val="decimal"/>
      <w:lvlText w:val="%1."/>
      <w:lvlJc w:val="left"/>
      <w:pPr>
        <w:ind w:left="825" w:hanging="36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7" w15:restartNumberingAfterBreak="0">
    <w:nsid w:val="3FCB1A11"/>
    <w:multiLevelType w:val="hybridMultilevel"/>
    <w:tmpl w:val="0E3E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4BFD77FA"/>
    <w:multiLevelType w:val="multilevel"/>
    <w:tmpl w:val="02C22106"/>
    <w:lvl w:ilvl="0">
      <w:start w:val="4"/>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0B4548A"/>
    <w:multiLevelType w:val="hybridMultilevel"/>
    <w:tmpl w:val="FD3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174ED"/>
    <w:multiLevelType w:val="hybridMultilevel"/>
    <w:tmpl w:val="A956CF48"/>
    <w:lvl w:ilvl="0" w:tplc="A184C3A0">
      <w:start w:val="1"/>
      <w:numFmt w:val="decimal"/>
      <w:lvlText w:val="%1."/>
      <w:lvlJc w:val="left"/>
      <w:pPr>
        <w:ind w:left="720" w:hanging="360"/>
      </w:pPr>
      <w:rPr>
        <w:rFonts w:ascii="Arial" w:hAnsi="Arial" w:cs="Times New Roman"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6301E5"/>
    <w:multiLevelType w:val="hybridMultilevel"/>
    <w:tmpl w:val="DF58F58E"/>
    <w:lvl w:ilvl="0" w:tplc="D06C7F8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734FE2"/>
    <w:multiLevelType w:val="hybridMultilevel"/>
    <w:tmpl w:val="467A433C"/>
    <w:lvl w:ilvl="0" w:tplc="3C563B98">
      <w:start w:val="3"/>
      <w:numFmt w:val="decimal"/>
      <w:lvlText w:val="%1.1"/>
      <w:lvlJc w:val="left"/>
      <w:pPr>
        <w:ind w:left="163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6845D9"/>
    <w:multiLevelType w:val="multilevel"/>
    <w:tmpl w:val="278C8F36"/>
    <w:lvl w:ilvl="0">
      <w:start w:val="2"/>
      <w:numFmt w:val="decimal"/>
      <w:lvlText w:val="%1"/>
      <w:lvlJc w:val="left"/>
      <w:pPr>
        <w:ind w:left="405" w:hanging="405"/>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D111353"/>
    <w:multiLevelType w:val="hybridMultilevel"/>
    <w:tmpl w:val="6264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B2333E"/>
    <w:multiLevelType w:val="multilevel"/>
    <w:tmpl w:val="1AFEE3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E32066"/>
    <w:multiLevelType w:val="hybridMultilevel"/>
    <w:tmpl w:val="3EBC1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82151D"/>
    <w:multiLevelType w:val="multilevel"/>
    <w:tmpl w:val="4116364E"/>
    <w:lvl w:ilvl="0">
      <w:start w:val="4"/>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B980282"/>
    <w:multiLevelType w:val="hybridMultilevel"/>
    <w:tmpl w:val="D64A78C8"/>
    <w:lvl w:ilvl="0" w:tplc="432A264E">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E96A7F"/>
    <w:multiLevelType w:val="hybridMultilevel"/>
    <w:tmpl w:val="ABECF2AC"/>
    <w:lvl w:ilvl="0" w:tplc="B5A64DDE">
      <w:start w:val="1"/>
      <w:numFmt w:val="decimal"/>
      <w:lvlText w:val="%1"/>
      <w:lvlJc w:val="left"/>
      <w:pPr>
        <w:ind w:left="765" w:hanging="405"/>
      </w:pPr>
      <w:rPr>
        <w:rFonts w:hint="default"/>
      </w:rPr>
    </w:lvl>
    <w:lvl w:ilvl="1" w:tplc="1E7026F2">
      <w:start w:val="2"/>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4" w15:restartNumberingAfterBreak="0">
    <w:nsid w:val="7D3D6904"/>
    <w:multiLevelType w:val="hybridMultilevel"/>
    <w:tmpl w:val="21C27DE6"/>
    <w:lvl w:ilvl="0" w:tplc="B1E2A554">
      <w:start w:val="4"/>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9"/>
  </w:num>
  <w:num w:numId="3">
    <w:abstractNumId w:val="4"/>
  </w:num>
  <w:num w:numId="4">
    <w:abstractNumId w:val="32"/>
  </w:num>
  <w:num w:numId="5">
    <w:abstractNumId w:val="24"/>
  </w:num>
  <w:num w:numId="6">
    <w:abstractNumId w:val="6"/>
  </w:num>
  <w:num w:numId="7">
    <w:abstractNumId w:val="21"/>
  </w:num>
  <w:num w:numId="8">
    <w:abstractNumId w:val="8"/>
  </w:num>
  <w:num w:numId="9">
    <w:abstractNumId w:val="32"/>
    <w:lvlOverride w:ilvl="0">
      <w:startOverride w:val="5"/>
    </w:lvlOverride>
  </w:num>
  <w:num w:numId="10">
    <w:abstractNumId w:val="28"/>
  </w:num>
  <w:num w:numId="11">
    <w:abstractNumId w:val="6"/>
  </w:num>
  <w:num w:numId="12">
    <w:abstractNumId w:val="17"/>
  </w:num>
  <w:num w:numId="13">
    <w:abstractNumId w:val="27"/>
  </w:num>
  <w:num w:numId="14">
    <w:abstractNumId w:val="1"/>
  </w:num>
  <w:num w:numId="15">
    <w:abstractNumId w:val="5"/>
  </w:num>
  <w:num w:numId="16">
    <w:abstractNumId w:val="12"/>
  </w:num>
  <w:num w:numId="17">
    <w:abstractNumId w:val="31"/>
  </w:num>
  <w:num w:numId="18">
    <w:abstractNumId w:val="6"/>
  </w:num>
  <w:num w:numId="19">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4"/>
  </w:num>
  <w:num w:numId="22">
    <w:abstractNumId w:val="15"/>
  </w:num>
  <w:num w:numId="23">
    <w:abstractNumId w:val="3"/>
  </w:num>
  <w:num w:numId="24">
    <w:abstractNumId w:val="20"/>
  </w:num>
  <w:num w:numId="25">
    <w:abstractNumId w:val="10"/>
  </w:num>
  <w:num w:numId="26">
    <w:abstractNumId w:val="11"/>
  </w:num>
  <w:num w:numId="27">
    <w:abstractNumId w:val="30"/>
  </w:num>
  <w:num w:numId="28">
    <w:abstractNumId w:val="33"/>
  </w:num>
  <w:num w:numId="29">
    <w:abstractNumId w:val="0"/>
  </w:num>
  <w:num w:numId="30">
    <w:abstractNumId w:val="9"/>
  </w:num>
  <w:num w:numId="31">
    <w:abstractNumId w:val="3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8"/>
  </w:num>
  <w:num w:numId="35">
    <w:abstractNumId w:val="25"/>
  </w:num>
  <w:num w:numId="36">
    <w:abstractNumId w:val="26"/>
  </w:num>
  <w:num w:numId="37">
    <w:abstractNumId w:val="9"/>
  </w:num>
  <w:num w:numId="38">
    <w:abstractNumId w:val="29"/>
  </w:num>
  <w:num w:numId="39">
    <w:abstractNumId w:val="16"/>
  </w:num>
  <w:num w:numId="4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3"/>
  </w:num>
  <w:num w:numId="44">
    <w:abstractNumId w:val="6"/>
  </w:num>
  <w:num w:numId="45">
    <w:abstractNumId w:val="26"/>
    <w:lvlOverride w:ilvl="0">
      <w:startOverride w:val="2"/>
    </w:lvlOverride>
    <w:lvlOverride w:ilvl="1">
      <w:startOverride w:val="4"/>
    </w:lvlOverride>
  </w:num>
  <w:num w:numId="46">
    <w:abstractNumId w:val="26"/>
  </w:num>
  <w:num w:numId="4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6998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1E5"/>
    <w:rsid w:val="00001CF2"/>
    <w:rsid w:val="0000247B"/>
    <w:rsid w:val="0000469B"/>
    <w:rsid w:val="0001023D"/>
    <w:rsid w:val="00010536"/>
    <w:rsid w:val="000105DB"/>
    <w:rsid w:val="00010802"/>
    <w:rsid w:val="00011B20"/>
    <w:rsid w:val="00012309"/>
    <w:rsid w:val="00017138"/>
    <w:rsid w:val="000205EB"/>
    <w:rsid w:val="00023812"/>
    <w:rsid w:val="0002432C"/>
    <w:rsid w:val="00032381"/>
    <w:rsid w:val="00032560"/>
    <w:rsid w:val="000328E1"/>
    <w:rsid w:val="00033C92"/>
    <w:rsid w:val="00035FF3"/>
    <w:rsid w:val="0003600A"/>
    <w:rsid w:val="00037B5F"/>
    <w:rsid w:val="00037F31"/>
    <w:rsid w:val="000407A6"/>
    <w:rsid w:val="0004556B"/>
    <w:rsid w:val="00045C4F"/>
    <w:rsid w:val="000475ED"/>
    <w:rsid w:val="00047BC9"/>
    <w:rsid w:val="0005023E"/>
    <w:rsid w:val="00051021"/>
    <w:rsid w:val="00051481"/>
    <w:rsid w:val="00051B89"/>
    <w:rsid w:val="00051ED9"/>
    <w:rsid w:val="00056993"/>
    <w:rsid w:val="00057181"/>
    <w:rsid w:val="00057F53"/>
    <w:rsid w:val="0006131F"/>
    <w:rsid w:val="0006473A"/>
    <w:rsid w:val="00064B2D"/>
    <w:rsid w:val="00065F1F"/>
    <w:rsid w:val="000667AF"/>
    <w:rsid w:val="00071ADF"/>
    <w:rsid w:val="00072176"/>
    <w:rsid w:val="00072837"/>
    <w:rsid w:val="00075C52"/>
    <w:rsid w:val="00076D33"/>
    <w:rsid w:val="00077C20"/>
    <w:rsid w:val="00080E6E"/>
    <w:rsid w:val="00081AAB"/>
    <w:rsid w:val="00082564"/>
    <w:rsid w:val="00082E85"/>
    <w:rsid w:val="00083BC9"/>
    <w:rsid w:val="00084E5E"/>
    <w:rsid w:val="000909C4"/>
    <w:rsid w:val="00091042"/>
    <w:rsid w:val="000913BB"/>
    <w:rsid w:val="00092478"/>
    <w:rsid w:val="00092CDA"/>
    <w:rsid w:val="00093422"/>
    <w:rsid w:val="00093F3A"/>
    <w:rsid w:val="000A21F1"/>
    <w:rsid w:val="000A27E9"/>
    <w:rsid w:val="000A293D"/>
    <w:rsid w:val="000A3D8B"/>
    <w:rsid w:val="000A44B2"/>
    <w:rsid w:val="000A450B"/>
    <w:rsid w:val="000A51D5"/>
    <w:rsid w:val="000A59D4"/>
    <w:rsid w:val="000A5DF8"/>
    <w:rsid w:val="000B07C2"/>
    <w:rsid w:val="000B6AF2"/>
    <w:rsid w:val="000B717D"/>
    <w:rsid w:val="000B7787"/>
    <w:rsid w:val="000B792C"/>
    <w:rsid w:val="000C079E"/>
    <w:rsid w:val="000C0A40"/>
    <w:rsid w:val="000C2A7D"/>
    <w:rsid w:val="000C2E7D"/>
    <w:rsid w:val="000C32B4"/>
    <w:rsid w:val="000C4319"/>
    <w:rsid w:val="000C7CE1"/>
    <w:rsid w:val="000D1B6B"/>
    <w:rsid w:val="000D594E"/>
    <w:rsid w:val="000D6FD4"/>
    <w:rsid w:val="000E026C"/>
    <w:rsid w:val="000E0AE4"/>
    <w:rsid w:val="000E3A07"/>
    <w:rsid w:val="000E3DBC"/>
    <w:rsid w:val="000E48AD"/>
    <w:rsid w:val="000E75E9"/>
    <w:rsid w:val="000F6350"/>
    <w:rsid w:val="000F65B2"/>
    <w:rsid w:val="000F7D28"/>
    <w:rsid w:val="00100813"/>
    <w:rsid w:val="00101B1E"/>
    <w:rsid w:val="001040F3"/>
    <w:rsid w:val="00113CE3"/>
    <w:rsid w:val="00115063"/>
    <w:rsid w:val="00116091"/>
    <w:rsid w:val="00116883"/>
    <w:rsid w:val="00116B5F"/>
    <w:rsid w:val="00116E3C"/>
    <w:rsid w:val="00117522"/>
    <w:rsid w:val="00120D65"/>
    <w:rsid w:val="00124B9A"/>
    <w:rsid w:val="00124E74"/>
    <w:rsid w:val="00125C7E"/>
    <w:rsid w:val="00126B96"/>
    <w:rsid w:val="00127932"/>
    <w:rsid w:val="00127E6B"/>
    <w:rsid w:val="001329A2"/>
    <w:rsid w:val="00134D48"/>
    <w:rsid w:val="00135C9F"/>
    <w:rsid w:val="00140A70"/>
    <w:rsid w:val="00142880"/>
    <w:rsid w:val="00142D76"/>
    <w:rsid w:val="0014393B"/>
    <w:rsid w:val="00145708"/>
    <w:rsid w:val="00147AFF"/>
    <w:rsid w:val="00147C66"/>
    <w:rsid w:val="00151D0C"/>
    <w:rsid w:val="001527F9"/>
    <w:rsid w:val="001542D8"/>
    <w:rsid w:val="001550A3"/>
    <w:rsid w:val="001561A7"/>
    <w:rsid w:val="0015768B"/>
    <w:rsid w:val="00161404"/>
    <w:rsid w:val="00163C09"/>
    <w:rsid w:val="00166DE1"/>
    <w:rsid w:val="00170ACC"/>
    <w:rsid w:val="00171088"/>
    <w:rsid w:val="001725A6"/>
    <w:rsid w:val="00172715"/>
    <w:rsid w:val="00180C41"/>
    <w:rsid w:val="001814C5"/>
    <w:rsid w:val="00182B95"/>
    <w:rsid w:val="00182C4C"/>
    <w:rsid w:val="00184A04"/>
    <w:rsid w:val="00184DA5"/>
    <w:rsid w:val="00190BC2"/>
    <w:rsid w:val="00190DCF"/>
    <w:rsid w:val="00191195"/>
    <w:rsid w:val="0019367E"/>
    <w:rsid w:val="0019489D"/>
    <w:rsid w:val="001952A6"/>
    <w:rsid w:val="0019656E"/>
    <w:rsid w:val="00196EB5"/>
    <w:rsid w:val="00197D8D"/>
    <w:rsid w:val="001A0AF3"/>
    <w:rsid w:val="001A1A75"/>
    <w:rsid w:val="001A20B1"/>
    <w:rsid w:val="001A2BEA"/>
    <w:rsid w:val="001A645C"/>
    <w:rsid w:val="001A696C"/>
    <w:rsid w:val="001A6C73"/>
    <w:rsid w:val="001A7173"/>
    <w:rsid w:val="001A7E9A"/>
    <w:rsid w:val="001B2335"/>
    <w:rsid w:val="001B385A"/>
    <w:rsid w:val="001B3BD4"/>
    <w:rsid w:val="001B6E31"/>
    <w:rsid w:val="001C27A3"/>
    <w:rsid w:val="001C3CC4"/>
    <w:rsid w:val="001C5295"/>
    <w:rsid w:val="001D6AA8"/>
    <w:rsid w:val="001D6E39"/>
    <w:rsid w:val="001E005A"/>
    <w:rsid w:val="001E09FA"/>
    <w:rsid w:val="001E15BB"/>
    <w:rsid w:val="001E2138"/>
    <w:rsid w:val="001E4BB1"/>
    <w:rsid w:val="001E4D59"/>
    <w:rsid w:val="001E7D0E"/>
    <w:rsid w:val="001E7E49"/>
    <w:rsid w:val="001F2BF0"/>
    <w:rsid w:val="001F3E74"/>
    <w:rsid w:val="001F456A"/>
    <w:rsid w:val="001F5D79"/>
    <w:rsid w:val="00203540"/>
    <w:rsid w:val="0020655A"/>
    <w:rsid w:val="002068C2"/>
    <w:rsid w:val="00206A6A"/>
    <w:rsid w:val="002077F3"/>
    <w:rsid w:val="00210C6C"/>
    <w:rsid w:val="00212FD6"/>
    <w:rsid w:val="00214C5B"/>
    <w:rsid w:val="0021612B"/>
    <w:rsid w:val="0021617A"/>
    <w:rsid w:val="00217708"/>
    <w:rsid w:val="00217994"/>
    <w:rsid w:val="00217E50"/>
    <w:rsid w:val="00217E86"/>
    <w:rsid w:val="0022083A"/>
    <w:rsid w:val="00220B93"/>
    <w:rsid w:val="00221354"/>
    <w:rsid w:val="0022180B"/>
    <w:rsid w:val="00221D07"/>
    <w:rsid w:val="002234A4"/>
    <w:rsid w:val="00224E90"/>
    <w:rsid w:val="00227A78"/>
    <w:rsid w:val="00227E4A"/>
    <w:rsid w:val="00231155"/>
    <w:rsid w:val="0023258B"/>
    <w:rsid w:val="002335A5"/>
    <w:rsid w:val="00233807"/>
    <w:rsid w:val="00235D8C"/>
    <w:rsid w:val="00241B86"/>
    <w:rsid w:val="002434EE"/>
    <w:rsid w:val="0024582E"/>
    <w:rsid w:val="00245C56"/>
    <w:rsid w:val="00250B18"/>
    <w:rsid w:val="002547EF"/>
    <w:rsid w:val="00254A6D"/>
    <w:rsid w:val="00256D65"/>
    <w:rsid w:val="002606C5"/>
    <w:rsid w:val="00265B6C"/>
    <w:rsid w:val="002660B7"/>
    <w:rsid w:val="002704EA"/>
    <w:rsid w:val="00271F00"/>
    <w:rsid w:val="00272E11"/>
    <w:rsid w:val="00273A80"/>
    <w:rsid w:val="00275573"/>
    <w:rsid w:val="00276BD4"/>
    <w:rsid w:val="0027714B"/>
    <w:rsid w:val="0028314C"/>
    <w:rsid w:val="00283556"/>
    <w:rsid w:val="002849AA"/>
    <w:rsid w:val="00286451"/>
    <w:rsid w:val="0029204E"/>
    <w:rsid w:val="002937F8"/>
    <w:rsid w:val="00293858"/>
    <w:rsid w:val="0029631C"/>
    <w:rsid w:val="0029778E"/>
    <w:rsid w:val="002A0194"/>
    <w:rsid w:val="002A2011"/>
    <w:rsid w:val="002A3314"/>
    <w:rsid w:val="002A42CB"/>
    <w:rsid w:val="002A5F8B"/>
    <w:rsid w:val="002A6D68"/>
    <w:rsid w:val="002A7F6C"/>
    <w:rsid w:val="002B2C32"/>
    <w:rsid w:val="002B4876"/>
    <w:rsid w:val="002B5642"/>
    <w:rsid w:val="002B57B1"/>
    <w:rsid w:val="002B6391"/>
    <w:rsid w:val="002C37AA"/>
    <w:rsid w:val="002C6EFF"/>
    <w:rsid w:val="002D0824"/>
    <w:rsid w:val="002D6809"/>
    <w:rsid w:val="002E1B10"/>
    <w:rsid w:val="002E50BF"/>
    <w:rsid w:val="002F05CB"/>
    <w:rsid w:val="002F3428"/>
    <w:rsid w:val="002F4FC7"/>
    <w:rsid w:val="002F6488"/>
    <w:rsid w:val="002F64DE"/>
    <w:rsid w:val="002F7125"/>
    <w:rsid w:val="002F7AB3"/>
    <w:rsid w:val="00302E3B"/>
    <w:rsid w:val="00302F00"/>
    <w:rsid w:val="00311F32"/>
    <w:rsid w:val="003121FA"/>
    <w:rsid w:val="003167FA"/>
    <w:rsid w:val="00316B91"/>
    <w:rsid w:val="003200EF"/>
    <w:rsid w:val="003201EB"/>
    <w:rsid w:val="00320839"/>
    <w:rsid w:val="003211BF"/>
    <w:rsid w:val="003213F9"/>
    <w:rsid w:val="003227BB"/>
    <w:rsid w:val="00322D9A"/>
    <w:rsid w:val="00323DBF"/>
    <w:rsid w:val="00325257"/>
    <w:rsid w:val="0032556E"/>
    <w:rsid w:val="00326D85"/>
    <w:rsid w:val="003308A5"/>
    <w:rsid w:val="003309A8"/>
    <w:rsid w:val="00330B5E"/>
    <w:rsid w:val="00330D85"/>
    <w:rsid w:val="0033116F"/>
    <w:rsid w:val="00332B12"/>
    <w:rsid w:val="00333BE1"/>
    <w:rsid w:val="00335B94"/>
    <w:rsid w:val="00335F3D"/>
    <w:rsid w:val="003365AD"/>
    <w:rsid w:val="00336F5E"/>
    <w:rsid w:val="00336FAA"/>
    <w:rsid w:val="00340850"/>
    <w:rsid w:val="00341DE7"/>
    <w:rsid w:val="00342383"/>
    <w:rsid w:val="00342470"/>
    <w:rsid w:val="00342726"/>
    <w:rsid w:val="00343D57"/>
    <w:rsid w:val="0034430C"/>
    <w:rsid w:val="0034488E"/>
    <w:rsid w:val="003467BF"/>
    <w:rsid w:val="00346E3B"/>
    <w:rsid w:val="00347856"/>
    <w:rsid w:val="003507E4"/>
    <w:rsid w:val="00351327"/>
    <w:rsid w:val="003517B4"/>
    <w:rsid w:val="00351B07"/>
    <w:rsid w:val="003522BF"/>
    <w:rsid w:val="00352C4F"/>
    <w:rsid w:val="00352CF2"/>
    <w:rsid w:val="00355543"/>
    <w:rsid w:val="00364841"/>
    <w:rsid w:val="00365FEA"/>
    <w:rsid w:val="00366F62"/>
    <w:rsid w:val="00371B29"/>
    <w:rsid w:val="003756A9"/>
    <w:rsid w:val="00375A6F"/>
    <w:rsid w:val="00376263"/>
    <w:rsid w:val="0037656B"/>
    <w:rsid w:val="0038053E"/>
    <w:rsid w:val="00383C72"/>
    <w:rsid w:val="0038478F"/>
    <w:rsid w:val="00384CFA"/>
    <w:rsid w:val="00386EF3"/>
    <w:rsid w:val="00391769"/>
    <w:rsid w:val="00392401"/>
    <w:rsid w:val="00392D86"/>
    <w:rsid w:val="003937C4"/>
    <w:rsid w:val="0039487B"/>
    <w:rsid w:val="003953E1"/>
    <w:rsid w:val="003956B3"/>
    <w:rsid w:val="00396DF6"/>
    <w:rsid w:val="00397F9D"/>
    <w:rsid w:val="003A4582"/>
    <w:rsid w:val="003A68BE"/>
    <w:rsid w:val="003B1805"/>
    <w:rsid w:val="003B3C9D"/>
    <w:rsid w:val="003B4572"/>
    <w:rsid w:val="003B76FF"/>
    <w:rsid w:val="003B78E0"/>
    <w:rsid w:val="003C20E9"/>
    <w:rsid w:val="003C3E4D"/>
    <w:rsid w:val="003C41ED"/>
    <w:rsid w:val="003C4969"/>
    <w:rsid w:val="003C6B42"/>
    <w:rsid w:val="003D0223"/>
    <w:rsid w:val="003D504A"/>
    <w:rsid w:val="003D58CA"/>
    <w:rsid w:val="003E05B3"/>
    <w:rsid w:val="003E41D5"/>
    <w:rsid w:val="003E46BA"/>
    <w:rsid w:val="003E6478"/>
    <w:rsid w:val="003E78DD"/>
    <w:rsid w:val="003E7D22"/>
    <w:rsid w:val="003F6E19"/>
    <w:rsid w:val="003F74C1"/>
    <w:rsid w:val="00401F19"/>
    <w:rsid w:val="00404FD2"/>
    <w:rsid w:val="00405B1A"/>
    <w:rsid w:val="00405B2E"/>
    <w:rsid w:val="004063D3"/>
    <w:rsid w:val="00406548"/>
    <w:rsid w:val="004103FD"/>
    <w:rsid w:val="00410C76"/>
    <w:rsid w:val="00411907"/>
    <w:rsid w:val="0041277E"/>
    <w:rsid w:val="00413CA8"/>
    <w:rsid w:val="00414E59"/>
    <w:rsid w:val="0041653D"/>
    <w:rsid w:val="0041682E"/>
    <w:rsid w:val="00417EE3"/>
    <w:rsid w:val="004207EB"/>
    <w:rsid w:val="00422249"/>
    <w:rsid w:val="00422A76"/>
    <w:rsid w:val="00430343"/>
    <w:rsid w:val="00430666"/>
    <w:rsid w:val="004321DD"/>
    <w:rsid w:val="004332DD"/>
    <w:rsid w:val="0043450B"/>
    <w:rsid w:val="00437276"/>
    <w:rsid w:val="00440E4E"/>
    <w:rsid w:val="00440EAE"/>
    <w:rsid w:val="00441D72"/>
    <w:rsid w:val="004439EE"/>
    <w:rsid w:val="00444293"/>
    <w:rsid w:val="004450A7"/>
    <w:rsid w:val="00445323"/>
    <w:rsid w:val="004520FA"/>
    <w:rsid w:val="00455C53"/>
    <w:rsid w:val="004567E9"/>
    <w:rsid w:val="00456B54"/>
    <w:rsid w:val="004636ED"/>
    <w:rsid w:val="00463F16"/>
    <w:rsid w:val="00464403"/>
    <w:rsid w:val="00464643"/>
    <w:rsid w:val="00466BAB"/>
    <w:rsid w:val="00466EDB"/>
    <w:rsid w:val="00467D3E"/>
    <w:rsid w:val="00470207"/>
    <w:rsid w:val="004718D3"/>
    <w:rsid w:val="0047241D"/>
    <w:rsid w:val="0047245E"/>
    <w:rsid w:val="00473B24"/>
    <w:rsid w:val="0047494D"/>
    <w:rsid w:val="0047709E"/>
    <w:rsid w:val="004801B9"/>
    <w:rsid w:val="00481DAD"/>
    <w:rsid w:val="00482297"/>
    <w:rsid w:val="0048242A"/>
    <w:rsid w:val="00482AA0"/>
    <w:rsid w:val="00483512"/>
    <w:rsid w:val="00483CBF"/>
    <w:rsid w:val="004845B1"/>
    <w:rsid w:val="004849CB"/>
    <w:rsid w:val="00485326"/>
    <w:rsid w:val="00486793"/>
    <w:rsid w:val="00486F50"/>
    <w:rsid w:val="00490D3E"/>
    <w:rsid w:val="0049165F"/>
    <w:rsid w:val="004928E0"/>
    <w:rsid w:val="004938E0"/>
    <w:rsid w:val="004941EA"/>
    <w:rsid w:val="0049422A"/>
    <w:rsid w:val="00495A61"/>
    <w:rsid w:val="00496678"/>
    <w:rsid w:val="004A1417"/>
    <w:rsid w:val="004A2037"/>
    <w:rsid w:val="004B1AB7"/>
    <w:rsid w:val="004B22D8"/>
    <w:rsid w:val="004B3BB8"/>
    <w:rsid w:val="004B7191"/>
    <w:rsid w:val="004B7EA3"/>
    <w:rsid w:val="004C1E8B"/>
    <w:rsid w:val="004C2CE7"/>
    <w:rsid w:val="004C4B87"/>
    <w:rsid w:val="004C675F"/>
    <w:rsid w:val="004C68C5"/>
    <w:rsid w:val="004C7BE1"/>
    <w:rsid w:val="004D0322"/>
    <w:rsid w:val="004D189A"/>
    <w:rsid w:val="004D23F9"/>
    <w:rsid w:val="004D2B42"/>
    <w:rsid w:val="004D516A"/>
    <w:rsid w:val="004D69A0"/>
    <w:rsid w:val="004E4246"/>
    <w:rsid w:val="004F1D26"/>
    <w:rsid w:val="004F1D5B"/>
    <w:rsid w:val="004F368B"/>
    <w:rsid w:val="004F385E"/>
    <w:rsid w:val="004F4F98"/>
    <w:rsid w:val="004F57BE"/>
    <w:rsid w:val="004F69F6"/>
    <w:rsid w:val="004F751F"/>
    <w:rsid w:val="004F79AC"/>
    <w:rsid w:val="005007DF"/>
    <w:rsid w:val="00500E5F"/>
    <w:rsid w:val="005017CF"/>
    <w:rsid w:val="00502E6F"/>
    <w:rsid w:val="00503F6D"/>
    <w:rsid w:val="00506C8E"/>
    <w:rsid w:val="00506F36"/>
    <w:rsid w:val="005070E5"/>
    <w:rsid w:val="0051286A"/>
    <w:rsid w:val="00513EEF"/>
    <w:rsid w:val="0051459E"/>
    <w:rsid w:val="0051523A"/>
    <w:rsid w:val="0051556A"/>
    <w:rsid w:val="00515C91"/>
    <w:rsid w:val="005162DB"/>
    <w:rsid w:val="005207D8"/>
    <w:rsid w:val="005216C9"/>
    <w:rsid w:val="00525632"/>
    <w:rsid w:val="00525D25"/>
    <w:rsid w:val="005276CD"/>
    <w:rsid w:val="00530325"/>
    <w:rsid w:val="00533BF1"/>
    <w:rsid w:val="0053464E"/>
    <w:rsid w:val="00534672"/>
    <w:rsid w:val="00534D8F"/>
    <w:rsid w:val="00535904"/>
    <w:rsid w:val="0054073C"/>
    <w:rsid w:val="00540AC9"/>
    <w:rsid w:val="0054272D"/>
    <w:rsid w:val="00542EEB"/>
    <w:rsid w:val="00543B9C"/>
    <w:rsid w:val="0054539E"/>
    <w:rsid w:val="0054560C"/>
    <w:rsid w:val="0054750B"/>
    <w:rsid w:val="0055084F"/>
    <w:rsid w:val="00550DAC"/>
    <w:rsid w:val="0055105E"/>
    <w:rsid w:val="005516C6"/>
    <w:rsid w:val="00552E75"/>
    <w:rsid w:val="00556DD9"/>
    <w:rsid w:val="00561EA0"/>
    <w:rsid w:val="00562268"/>
    <w:rsid w:val="00562917"/>
    <w:rsid w:val="005645B2"/>
    <w:rsid w:val="0057374B"/>
    <w:rsid w:val="0057615C"/>
    <w:rsid w:val="0057793B"/>
    <w:rsid w:val="005815B7"/>
    <w:rsid w:val="00582B45"/>
    <w:rsid w:val="00584B88"/>
    <w:rsid w:val="00586228"/>
    <w:rsid w:val="00587879"/>
    <w:rsid w:val="00590B88"/>
    <w:rsid w:val="00591316"/>
    <w:rsid w:val="005919CE"/>
    <w:rsid w:val="00591FB0"/>
    <w:rsid w:val="0059278C"/>
    <w:rsid w:val="00592D8E"/>
    <w:rsid w:val="00594036"/>
    <w:rsid w:val="005A0A3F"/>
    <w:rsid w:val="005A129F"/>
    <w:rsid w:val="005A17BD"/>
    <w:rsid w:val="005A1975"/>
    <w:rsid w:val="005A1D97"/>
    <w:rsid w:val="005A3DE1"/>
    <w:rsid w:val="005A4C20"/>
    <w:rsid w:val="005A58F3"/>
    <w:rsid w:val="005A611D"/>
    <w:rsid w:val="005A72C0"/>
    <w:rsid w:val="005B3F12"/>
    <w:rsid w:val="005B6AF4"/>
    <w:rsid w:val="005B7A73"/>
    <w:rsid w:val="005C04CB"/>
    <w:rsid w:val="005C0AB3"/>
    <w:rsid w:val="005C17B0"/>
    <w:rsid w:val="005C204A"/>
    <w:rsid w:val="005C3917"/>
    <w:rsid w:val="005C3B4C"/>
    <w:rsid w:val="005C4019"/>
    <w:rsid w:val="005C4E6E"/>
    <w:rsid w:val="005C534D"/>
    <w:rsid w:val="005C5858"/>
    <w:rsid w:val="005C7C07"/>
    <w:rsid w:val="005D017C"/>
    <w:rsid w:val="005D0F40"/>
    <w:rsid w:val="005D126C"/>
    <w:rsid w:val="005D16AD"/>
    <w:rsid w:val="005D17BB"/>
    <w:rsid w:val="005D27C4"/>
    <w:rsid w:val="005D2B6D"/>
    <w:rsid w:val="005D3790"/>
    <w:rsid w:val="005D3866"/>
    <w:rsid w:val="005D4460"/>
    <w:rsid w:val="005D5A54"/>
    <w:rsid w:val="005D5C34"/>
    <w:rsid w:val="005D6FED"/>
    <w:rsid w:val="005D72E1"/>
    <w:rsid w:val="005E065A"/>
    <w:rsid w:val="005E0D48"/>
    <w:rsid w:val="005E1CDA"/>
    <w:rsid w:val="005E5572"/>
    <w:rsid w:val="005E6E16"/>
    <w:rsid w:val="005E7646"/>
    <w:rsid w:val="005F1D2F"/>
    <w:rsid w:val="005F3750"/>
    <w:rsid w:val="005F400E"/>
    <w:rsid w:val="005F7342"/>
    <w:rsid w:val="005F7AD9"/>
    <w:rsid w:val="00600A86"/>
    <w:rsid w:val="006022E1"/>
    <w:rsid w:val="006032EA"/>
    <w:rsid w:val="00603879"/>
    <w:rsid w:val="00603A08"/>
    <w:rsid w:val="006043D8"/>
    <w:rsid w:val="00606517"/>
    <w:rsid w:val="00610A3C"/>
    <w:rsid w:val="0061176E"/>
    <w:rsid w:val="006117BD"/>
    <w:rsid w:val="006137C2"/>
    <w:rsid w:val="00614F86"/>
    <w:rsid w:val="0061579F"/>
    <w:rsid w:val="0061608D"/>
    <w:rsid w:val="006160F6"/>
    <w:rsid w:val="0061618E"/>
    <w:rsid w:val="00616283"/>
    <w:rsid w:val="006170DA"/>
    <w:rsid w:val="00622639"/>
    <w:rsid w:val="00627F48"/>
    <w:rsid w:val="0063001A"/>
    <w:rsid w:val="00630C23"/>
    <w:rsid w:val="006353EB"/>
    <w:rsid w:val="00636DCD"/>
    <w:rsid w:val="006424E3"/>
    <w:rsid w:val="0064411D"/>
    <w:rsid w:val="00644C9C"/>
    <w:rsid w:val="006460AB"/>
    <w:rsid w:val="00652854"/>
    <w:rsid w:val="00655218"/>
    <w:rsid w:val="00661384"/>
    <w:rsid w:val="006626C0"/>
    <w:rsid w:val="00663D5B"/>
    <w:rsid w:val="00663FCF"/>
    <w:rsid w:val="0066496F"/>
    <w:rsid w:val="006652A2"/>
    <w:rsid w:val="006670EF"/>
    <w:rsid w:val="00667539"/>
    <w:rsid w:val="00667F4E"/>
    <w:rsid w:val="006720EF"/>
    <w:rsid w:val="00675F9F"/>
    <w:rsid w:val="0067607B"/>
    <w:rsid w:val="0067741B"/>
    <w:rsid w:val="00680F32"/>
    <w:rsid w:val="00681F9B"/>
    <w:rsid w:val="00683126"/>
    <w:rsid w:val="00683FEA"/>
    <w:rsid w:val="00684C57"/>
    <w:rsid w:val="00685186"/>
    <w:rsid w:val="00686536"/>
    <w:rsid w:val="00690206"/>
    <w:rsid w:val="0069112F"/>
    <w:rsid w:val="006919F7"/>
    <w:rsid w:val="00691E5A"/>
    <w:rsid w:val="00692A7C"/>
    <w:rsid w:val="006934B1"/>
    <w:rsid w:val="006936C3"/>
    <w:rsid w:val="006937FF"/>
    <w:rsid w:val="00694111"/>
    <w:rsid w:val="00694C7C"/>
    <w:rsid w:val="00695DB0"/>
    <w:rsid w:val="006A1920"/>
    <w:rsid w:val="006A3564"/>
    <w:rsid w:val="006A48A7"/>
    <w:rsid w:val="006A5027"/>
    <w:rsid w:val="006A6848"/>
    <w:rsid w:val="006A790E"/>
    <w:rsid w:val="006B3E69"/>
    <w:rsid w:val="006B4BA1"/>
    <w:rsid w:val="006B5A24"/>
    <w:rsid w:val="006B5EBE"/>
    <w:rsid w:val="006C1B71"/>
    <w:rsid w:val="006C2F41"/>
    <w:rsid w:val="006C3AF5"/>
    <w:rsid w:val="006C4195"/>
    <w:rsid w:val="006C5946"/>
    <w:rsid w:val="006C5CF5"/>
    <w:rsid w:val="006D45F2"/>
    <w:rsid w:val="006D5AA3"/>
    <w:rsid w:val="006D76C8"/>
    <w:rsid w:val="006E69AE"/>
    <w:rsid w:val="006F072E"/>
    <w:rsid w:val="006F0765"/>
    <w:rsid w:val="006F0CEE"/>
    <w:rsid w:val="006F339D"/>
    <w:rsid w:val="006F3B88"/>
    <w:rsid w:val="006F4A82"/>
    <w:rsid w:val="006F4D49"/>
    <w:rsid w:val="006F5437"/>
    <w:rsid w:val="007005EF"/>
    <w:rsid w:val="00703613"/>
    <w:rsid w:val="0070373B"/>
    <w:rsid w:val="00705A3C"/>
    <w:rsid w:val="007065FF"/>
    <w:rsid w:val="007121BE"/>
    <w:rsid w:val="0071296A"/>
    <w:rsid w:val="007133AE"/>
    <w:rsid w:val="00724D6A"/>
    <w:rsid w:val="00724FA4"/>
    <w:rsid w:val="0072613B"/>
    <w:rsid w:val="00726B4B"/>
    <w:rsid w:val="00727BFE"/>
    <w:rsid w:val="00730800"/>
    <w:rsid w:val="00731281"/>
    <w:rsid w:val="007364A5"/>
    <w:rsid w:val="00736ADF"/>
    <w:rsid w:val="00737704"/>
    <w:rsid w:val="00740D44"/>
    <w:rsid w:val="0074132A"/>
    <w:rsid w:val="00745778"/>
    <w:rsid w:val="00746015"/>
    <w:rsid w:val="00747D88"/>
    <w:rsid w:val="00755313"/>
    <w:rsid w:val="007573A6"/>
    <w:rsid w:val="007602AA"/>
    <w:rsid w:val="007615BB"/>
    <w:rsid w:val="00763BD9"/>
    <w:rsid w:val="007652EF"/>
    <w:rsid w:val="00772BDC"/>
    <w:rsid w:val="007734DE"/>
    <w:rsid w:val="00773AF0"/>
    <w:rsid w:val="007744F4"/>
    <w:rsid w:val="00774D82"/>
    <w:rsid w:val="00775FC9"/>
    <w:rsid w:val="00780792"/>
    <w:rsid w:val="00780A8F"/>
    <w:rsid w:val="0078130F"/>
    <w:rsid w:val="007836F5"/>
    <w:rsid w:val="00783FF3"/>
    <w:rsid w:val="00784DF5"/>
    <w:rsid w:val="00785570"/>
    <w:rsid w:val="00785AEA"/>
    <w:rsid w:val="00787406"/>
    <w:rsid w:val="00790362"/>
    <w:rsid w:val="007927DA"/>
    <w:rsid w:val="00796562"/>
    <w:rsid w:val="00796BFA"/>
    <w:rsid w:val="00796E8D"/>
    <w:rsid w:val="007A0F41"/>
    <w:rsid w:val="007A44B4"/>
    <w:rsid w:val="007A6E41"/>
    <w:rsid w:val="007A7D3D"/>
    <w:rsid w:val="007B04E3"/>
    <w:rsid w:val="007B1406"/>
    <w:rsid w:val="007B1BE7"/>
    <w:rsid w:val="007B225D"/>
    <w:rsid w:val="007B232D"/>
    <w:rsid w:val="007B4286"/>
    <w:rsid w:val="007B4684"/>
    <w:rsid w:val="007B4B33"/>
    <w:rsid w:val="007C174F"/>
    <w:rsid w:val="007C1C64"/>
    <w:rsid w:val="007C1EC7"/>
    <w:rsid w:val="007C217A"/>
    <w:rsid w:val="007D03EA"/>
    <w:rsid w:val="007D1762"/>
    <w:rsid w:val="007D2E2E"/>
    <w:rsid w:val="007D3F57"/>
    <w:rsid w:val="007D661A"/>
    <w:rsid w:val="007E0896"/>
    <w:rsid w:val="007E0FE3"/>
    <w:rsid w:val="007E1A4E"/>
    <w:rsid w:val="007E310F"/>
    <w:rsid w:val="007E4706"/>
    <w:rsid w:val="007E48BC"/>
    <w:rsid w:val="007E4D1B"/>
    <w:rsid w:val="007E6575"/>
    <w:rsid w:val="007E79F7"/>
    <w:rsid w:val="007F057F"/>
    <w:rsid w:val="007F058A"/>
    <w:rsid w:val="007F3173"/>
    <w:rsid w:val="007F3630"/>
    <w:rsid w:val="007F4C6A"/>
    <w:rsid w:val="007F6E46"/>
    <w:rsid w:val="007F729D"/>
    <w:rsid w:val="0080060C"/>
    <w:rsid w:val="00800696"/>
    <w:rsid w:val="008017B9"/>
    <w:rsid w:val="00801D10"/>
    <w:rsid w:val="00802BD0"/>
    <w:rsid w:val="008047BA"/>
    <w:rsid w:val="008065DD"/>
    <w:rsid w:val="00807559"/>
    <w:rsid w:val="00813A63"/>
    <w:rsid w:val="00813FEB"/>
    <w:rsid w:val="008145B1"/>
    <w:rsid w:val="0081597A"/>
    <w:rsid w:val="00816D08"/>
    <w:rsid w:val="0081799E"/>
    <w:rsid w:val="00817F67"/>
    <w:rsid w:val="008201B9"/>
    <w:rsid w:val="008207CF"/>
    <w:rsid w:val="00820B19"/>
    <w:rsid w:val="008240B5"/>
    <w:rsid w:val="00826E83"/>
    <w:rsid w:val="00827022"/>
    <w:rsid w:val="00830C1D"/>
    <w:rsid w:val="00830FFC"/>
    <w:rsid w:val="0083481C"/>
    <w:rsid w:val="00836AD9"/>
    <w:rsid w:val="0084099A"/>
    <w:rsid w:val="0084132F"/>
    <w:rsid w:val="00841BE8"/>
    <w:rsid w:val="00842F37"/>
    <w:rsid w:val="008450BC"/>
    <w:rsid w:val="00845327"/>
    <w:rsid w:val="008512A5"/>
    <w:rsid w:val="00851706"/>
    <w:rsid w:val="0085263A"/>
    <w:rsid w:val="00853256"/>
    <w:rsid w:val="0085334B"/>
    <w:rsid w:val="00856367"/>
    <w:rsid w:val="008576C4"/>
    <w:rsid w:val="00857CC4"/>
    <w:rsid w:val="00864249"/>
    <w:rsid w:val="00865BBD"/>
    <w:rsid w:val="008660D7"/>
    <w:rsid w:val="00870214"/>
    <w:rsid w:val="008707D5"/>
    <w:rsid w:val="008709FD"/>
    <w:rsid w:val="00870A49"/>
    <w:rsid w:val="00871052"/>
    <w:rsid w:val="008715AF"/>
    <w:rsid w:val="00871617"/>
    <w:rsid w:val="00873DA8"/>
    <w:rsid w:val="00873FF0"/>
    <w:rsid w:val="0087410D"/>
    <w:rsid w:val="008750D6"/>
    <w:rsid w:val="0087517F"/>
    <w:rsid w:val="00876DA6"/>
    <w:rsid w:val="00881E70"/>
    <w:rsid w:val="00884938"/>
    <w:rsid w:val="0088510D"/>
    <w:rsid w:val="00885C51"/>
    <w:rsid w:val="00885EB0"/>
    <w:rsid w:val="00887ED1"/>
    <w:rsid w:val="00891A31"/>
    <w:rsid w:val="00891F4B"/>
    <w:rsid w:val="0089264A"/>
    <w:rsid w:val="00893B68"/>
    <w:rsid w:val="00893E26"/>
    <w:rsid w:val="00896B85"/>
    <w:rsid w:val="00896C0B"/>
    <w:rsid w:val="00897B94"/>
    <w:rsid w:val="008A017A"/>
    <w:rsid w:val="008A22BE"/>
    <w:rsid w:val="008A2D82"/>
    <w:rsid w:val="008A306C"/>
    <w:rsid w:val="008B06A8"/>
    <w:rsid w:val="008B3325"/>
    <w:rsid w:val="008B40E2"/>
    <w:rsid w:val="008B69DF"/>
    <w:rsid w:val="008C14C0"/>
    <w:rsid w:val="008C1B36"/>
    <w:rsid w:val="008C1DAE"/>
    <w:rsid w:val="008C3B10"/>
    <w:rsid w:val="008C445B"/>
    <w:rsid w:val="008C585A"/>
    <w:rsid w:val="008C6BCE"/>
    <w:rsid w:val="008C7F76"/>
    <w:rsid w:val="008D06C6"/>
    <w:rsid w:val="008D4344"/>
    <w:rsid w:val="008D4642"/>
    <w:rsid w:val="008D4DB4"/>
    <w:rsid w:val="008E0C93"/>
    <w:rsid w:val="008E1154"/>
    <w:rsid w:val="008E1F35"/>
    <w:rsid w:val="008E2C5D"/>
    <w:rsid w:val="008E3B90"/>
    <w:rsid w:val="008E5D07"/>
    <w:rsid w:val="008E6250"/>
    <w:rsid w:val="008F0025"/>
    <w:rsid w:val="008F1354"/>
    <w:rsid w:val="008F21BF"/>
    <w:rsid w:val="008F6262"/>
    <w:rsid w:val="008F789D"/>
    <w:rsid w:val="009020AC"/>
    <w:rsid w:val="00902349"/>
    <w:rsid w:val="00902675"/>
    <w:rsid w:val="00902AF6"/>
    <w:rsid w:val="00902B07"/>
    <w:rsid w:val="0090331B"/>
    <w:rsid w:val="0090518C"/>
    <w:rsid w:val="0090641F"/>
    <w:rsid w:val="00910561"/>
    <w:rsid w:val="00911C46"/>
    <w:rsid w:val="00911E33"/>
    <w:rsid w:val="0091429F"/>
    <w:rsid w:val="00915E75"/>
    <w:rsid w:val="00916B9B"/>
    <w:rsid w:val="00917C06"/>
    <w:rsid w:val="00920249"/>
    <w:rsid w:val="00924C80"/>
    <w:rsid w:val="00924DF2"/>
    <w:rsid w:val="009277C7"/>
    <w:rsid w:val="009329AD"/>
    <w:rsid w:val="00932F14"/>
    <w:rsid w:val="009337DB"/>
    <w:rsid w:val="00934BF5"/>
    <w:rsid w:val="00934F07"/>
    <w:rsid w:val="00935F80"/>
    <w:rsid w:val="0093774C"/>
    <w:rsid w:val="00937CBB"/>
    <w:rsid w:val="00940452"/>
    <w:rsid w:val="0094247F"/>
    <w:rsid w:val="00942D60"/>
    <w:rsid w:val="00944C3C"/>
    <w:rsid w:val="00944DDE"/>
    <w:rsid w:val="009452FD"/>
    <w:rsid w:val="00945DDD"/>
    <w:rsid w:val="00946E99"/>
    <w:rsid w:val="00947C08"/>
    <w:rsid w:val="00954C54"/>
    <w:rsid w:val="0095591D"/>
    <w:rsid w:val="00955C64"/>
    <w:rsid w:val="00956E33"/>
    <w:rsid w:val="00960136"/>
    <w:rsid w:val="0096095B"/>
    <w:rsid w:val="0096310C"/>
    <w:rsid w:val="00964563"/>
    <w:rsid w:val="0096523B"/>
    <w:rsid w:val="00966350"/>
    <w:rsid w:val="009666E2"/>
    <w:rsid w:val="00966EE3"/>
    <w:rsid w:val="00970D6D"/>
    <w:rsid w:val="0097107A"/>
    <w:rsid w:val="00971991"/>
    <w:rsid w:val="00971B16"/>
    <w:rsid w:val="00972651"/>
    <w:rsid w:val="00972D06"/>
    <w:rsid w:val="009734D6"/>
    <w:rsid w:val="00974DFF"/>
    <w:rsid w:val="00974EEF"/>
    <w:rsid w:val="00975BBD"/>
    <w:rsid w:val="00976688"/>
    <w:rsid w:val="00980C3E"/>
    <w:rsid w:val="00981823"/>
    <w:rsid w:val="0098266D"/>
    <w:rsid w:val="00982ECB"/>
    <w:rsid w:val="00982F0E"/>
    <w:rsid w:val="00982FCD"/>
    <w:rsid w:val="00984A05"/>
    <w:rsid w:val="00986972"/>
    <w:rsid w:val="00987E33"/>
    <w:rsid w:val="00990B9C"/>
    <w:rsid w:val="00990F14"/>
    <w:rsid w:val="009914BC"/>
    <w:rsid w:val="009920EE"/>
    <w:rsid w:val="009927A9"/>
    <w:rsid w:val="009927F7"/>
    <w:rsid w:val="009959E1"/>
    <w:rsid w:val="00996927"/>
    <w:rsid w:val="009A1AD4"/>
    <w:rsid w:val="009A1E18"/>
    <w:rsid w:val="009A3305"/>
    <w:rsid w:val="009A391C"/>
    <w:rsid w:val="009A46B7"/>
    <w:rsid w:val="009A4925"/>
    <w:rsid w:val="009A50F2"/>
    <w:rsid w:val="009B24B6"/>
    <w:rsid w:val="009B322F"/>
    <w:rsid w:val="009B591E"/>
    <w:rsid w:val="009B6F65"/>
    <w:rsid w:val="009B7070"/>
    <w:rsid w:val="009B7BC2"/>
    <w:rsid w:val="009C011D"/>
    <w:rsid w:val="009C2CA7"/>
    <w:rsid w:val="009C31DD"/>
    <w:rsid w:val="009D000A"/>
    <w:rsid w:val="009D008A"/>
    <w:rsid w:val="009D07FE"/>
    <w:rsid w:val="009D29DB"/>
    <w:rsid w:val="009D3624"/>
    <w:rsid w:val="009D4543"/>
    <w:rsid w:val="009D5DF7"/>
    <w:rsid w:val="009D63FD"/>
    <w:rsid w:val="009D7094"/>
    <w:rsid w:val="009D72D8"/>
    <w:rsid w:val="009D7463"/>
    <w:rsid w:val="009D7603"/>
    <w:rsid w:val="009E08C3"/>
    <w:rsid w:val="009E0A61"/>
    <w:rsid w:val="009E0BFB"/>
    <w:rsid w:val="009E2A0D"/>
    <w:rsid w:val="009E3010"/>
    <w:rsid w:val="009E41F8"/>
    <w:rsid w:val="009E45EE"/>
    <w:rsid w:val="009E7B9A"/>
    <w:rsid w:val="009F007E"/>
    <w:rsid w:val="009F0940"/>
    <w:rsid w:val="009F35FE"/>
    <w:rsid w:val="009F440E"/>
    <w:rsid w:val="009F4D2A"/>
    <w:rsid w:val="009F5055"/>
    <w:rsid w:val="009F671F"/>
    <w:rsid w:val="009F6D17"/>
    <w:rsid w:val="009F6F45"/>
    <w:rsid w:val="009F7065"/>
    <w:rsid w:val="009F76AE"/>
    <w:rsid w:val="00A026A5"/>
    <w:rsid w:val="00A04191"/>
    <w:rsid w:val="00A050CC"/>
    <w:rsid w:val="00A05D2D"/>
    <w:rsid w:val="00A10D85"/>
    <w:rsid w:val="00A1146A"/>
    <w:rsid w:val="00A11E2B"/>
    <w:rsid w:val="00A12B30"/>
    <w:rsid w:val="00A14E5C"/>
    <w:rsid w:val="00A224DF"/>
    <w:rsid w:val="00A23CD7"/>
    <w:rsid w:val="00A23F83"/>
    <w:rsid w:val="00A24106"/>
    <w:rsid w:val="00A24B5D"/>
    <w:rsid w:val="00A3188C"/>
    <w:rsid w:val="00A33E6E"/>
    <w:rsid w:val="00A34847"/>
    <w:rsid w:val="00A35C2C"/>
    <w:rsid w:val="00A35D1B"/>
    <w:rsid w:val="00A400B6"/>
    <w:rsid w:val="00A4175D"/>
    <w:rsid w:val="00A4192D"/>
    <w:rsid w:val="00A43265"/>
    <w:rsid w:val="00A46260"/>
    <w:rsid w:val="00A501A0"/>
    <w:rsid w:val="00A50351"/>
    <w:rsid w:val="00A52D3B"/>
    <w:rsid w:val="00A567E7"/>
    <w:rsid w:val="00A56DC7"/>
    <w:rsid w:val="00A60FE2"/>
    <w:rsid w:val="00A6192F"/>
    <w:rsid w:val="00A61EAF"/>
    <w:rsid w:val="00A64CE3"/>
    <w:rsid w:val="00A667E8"/>
    <w:rsid w:val="00A728C7"/>
    <w:rsid w:val="00A72D49"/>
    <w:rsid w:val="00A730F5"/>
    <w:rsid w:val="00A74FD1"/>
    <w:rsid w:val="00A77BFA"/>
    <w:rsid w:val="00A80DC3"/>
    <w:rsid w:val="00A8228D"/>
    <w:rsid w:val="00A83147"/>
    <w:rsid w:val="00A84A58"/>
    <w:rsid w:val="00A92DCB"/>
    <w:rsid w:val="00A9372F"/>
    <w:rsid w:val="00A950FA"/>
    <w:rsid w:val="00A958C9"/>
    <w:rsid w:val="00A966BD"/>
    <w:rsid w:val="00AA0C9B"/>
    <w:rsid w:val="00AA33C6"/>
    <w:rsid w:val="00AA5CA8"/>
    <w:rsid w:val="00AA7F52"/>
    <w:rsid w:val="00AB0E00"/>
    <w:rsid w:val="00AB18B4"/>
    <w:rsid w:val="00AB2EC9"/>
    <w:rsid w:val="00AB58CB"/>
    <w:rsid w:val="00AB58EC"/>
    <w:rsid w:val="00AB5CA2"/>
    <w:rsid w:val="00AB6550"/>
    <w:rsid w:val="00AC22B3"/>
    <w:rsid w:val="00AC3805"/>
    <w:rsid w:val="00AC43CB"/>
    <w:rsid w:val="00AC5569"/>
    <w:rsid w:val="00AC72BE"/>
    <w:rsid w:val="00AD0003"/>
    <w:rsid w:val="00AD3E50"/>
    <w:rsid w:val="00AD41A1"/>
    <w:rsid w:val="00AD4B94"/>
    <w:rsid w:val="00AD679E"/>
    <w:rsid w:val="00AD6CE1"/>
    <w:rsid w:val="00AD7282"/>
    <w:rsid w:val="00AE092D"/>
    <w:rsid w:val="00AE20A9"/>
    <w:rsid w:val="00AE4BEC"/>
    <w:rsid w:val="00AE643D"/>
    <w:rsid w:val="00AF06FC"/>
    <w:rsid w:val="00AF134E"/>
    <w:rsid w:val="00AF2384"/>
    <w:rsid w:val="00AF3391"/>
    <w:rsid w:val="00AF387F"/>
    <w:rsid w:val="00AF5790"/>
    <w:rsid w:val="00AF5CD7"/>
    <w:rsid w:val="00AF627E"/>
    <w:rsid w:val="00AF66D7"/>
    <w:rsid w:val="00AF6F64"/>
    <w:rsid w:val="00B00E7F"/>
    <w:rsid w:val="00B02163"/>
    <w:rsid w:val="00B02392"/>
    <w:rsid w:val="00B02CBA"/>
    <w:rsid w:val="00B0336F"/>
    <w:rsid w:val="00B04030"/>
    <w:rsid w:val="00B10547"/>
    <w:rsid w:val="00B10847"/>
    <w:rsid w:val="00B1166F"/>
    <w:rsid w:val="00B11815"/>
    <w:rsid w:val="00B12F1E"/>
    <w:rsid w:val="00B1303F"/>
    <w:rsid w:val="00B13BF6"/>
    <w:rsid w:val="00B14C53"/>
    <w:rsid w:val="00B15394"/>
    <w:rsid w:val="00B16870"/>
    <w:rsid w:val="00B173DA"/>
    <w:rsid w:val="00B203AE"/>
    <w:rsid w:val="00B21C1A"/>
    <w:rsid w:val="00B21D97"/>
    <w:rsid w:val="00B21DCC"/>
    <w:rsid w:val="00B221EF"/>
    <w:rsid w:val="00B223C1"/>
    <w:rsid w:val="00B24D2A"/>
    <w:rsid w:val="00B24EB8"/>
    <w:rsid w:val="00B25F37"/>
    <w:rsid w:val="00B26528"/>
    <w:rsid w:val="00B26A37"/>
    <w:rsid w:val="00B26F9A"/>
    <w:rsid w:val="00B271C0"/>
    <w:rsid w:val="00B325D3"/>
    <w:rsid w:val="00B34F0E"/>
    <w:rsid w:val="00B37BF0"/>
    <w:rsid w:val="00B40182"/>
    <w:rsid w:val="00B42F19"/>
    <w:rsid w:val="00B44422"/>
    <w:rsid w:val="00B46EA0"/>
    <w:rsid w:val="00B52D28"/>
    <w:rsid w:val="00B53035"/>
    <w:rsid w:val="00B5538E"/>
    <w:rsid w:val="00B56595"/>
    <w:rsid w:val="00B56CBE"/>
    <w:rsid w:val="00B56CDA"/>
    <w:rsid w:val="00B617A9"/>
    <w:rsid w:val="00B6646B"/>
    <w:rsid w:val="00B70218"/>
    <w:rsid w:val="00B731D3"/>
    <w:rsid w:val="00B7479C"/>
    <w:rsid w:val="00B75224"/>
    <w:rsid w:val="00B76DC4"/>
    <w:rsid w:val="00B80C7B"/>
    <w:rsid w:val="00B80EDC"/>
    <w:rsid w:val="00B83491"/>
    <w:rsid w:val="00B839A3"/>
    <w:rsid w:val="00B8420D"/>
    <w:rsid w:val="00B902BD"/>
    <w:rsid w:val="00B91F18"/>
    <w:rsid w:val="00B94801"/>
    <w:rsid w:val="00B9679C"/>
    <w:rsid w:val="00B96B8E"/>
    <w:rsid w:val="00B96C58"/>
    <w:rsid w:val="00B97864"/>
    <w:rsid w:val="00B97F73"/>
    <w:rsid w:val="00BA00AD"/>
    <w:rsid w:val="00BA0678"/>
    <w:rsid w:val="00BA0EF1"/>
    <w:rsid w:val="00BA24E2"/>
    <w:rsid w:val="00BA2C2B"/>
    <w:rsid w:val="00BA4985"/>
    <w:rsid w:val="00BA6BAC"/>
    <w:rsid w:val="00BB14C1"/>
    <w:rsid w:val="00BB1DB8"/>
    <w:rsid w:val="00BB2AF3"/>
    <w:rsid w:val="00BB7B18"/>
    <w:rsid w:val="00BC11CA"/>
    <w:rsid w:val="00BC1D5B"/>
    <w:rsid w:val="00BC2B07"/>
    <w:rsid w:val="00BC333E"/>
    <w:rsid w:val="00BC5DFC"/>
    <w:rsid w:val="00BC6356"/>
    <w:rsid w:val="00BD06DA"/>
    <w:rsid w:val="00BD0D7B"/>
    <w:rsid w:val="00BD2A39"/>
    <w:rsid w:val="00BD2E80"/>
    <w:rsid w:val="00BD2F1F"/>
    <w:rsid w:val="00BD3604"/>
    <w:rsid w:val="00BD42B0"/>
    <w:rsid w:val="00BD5765"/>
    <w:rsid w:val="00BD6DED"/>
    <w:rsid w:val="00BE0ACB"/>
    <w:rsid w:val="00BE11B8"/>
    <w:rsid w:val="00BE1330"/>
    <w:rsid w:val="00BE1D41"/>
    <w:rsid w:val="00BE1DC7"/>
    <w:rsid w:val="00BE2589"/>
    <w:rsid w:val="00BE3700"/>
    <w:rsid w:val="00BE64B6"/>
    <w:rsid w:val="00BE7365"/>
    <w:rsid w:val="00BE7FA5"/>
    <w:rsid w:val="00BF12B1"/>
    <w:rsid w:val="00BF1C79"/>
    <w:rsid w:val="00BF3992"/>
    <w:rsid w:val="00BF3A4A"/>
    <w:rsid w:val="00BF4080"/>
    <w:rsid w:val="00BF4E0F"/>
    <w:rsid w:val="00BF5525"/>
    <w:rsid w:val="00BF7347"/>
    <w:rsid w:val="00BF7FF0"/>
    <w:rsid w:val="00C024ED"/>
    <w:rsid w:val="00C045F4"/>
    <w:rsid w:val="00C056CB"/>
    <w:rsid w:val="00C057F4"/>
    <w:rsid w:val="00C06723"/>
    <w:rsid w:val="00C10032"/>
    <w:rsid w:val="00C10DFD"/>
    <w:rsid w:val="00C12502"/>
    <w:rsid w:val="00C125A4"/>
    <w:rsid w:val="00C167A1"/>
    <w:rsid w:val="00C17B13"/>
    <w:rsid w:val="00C17D28"/>
    <w:rsid w:val="00C2003F"/>
    <w:rsid w:val="00C20DD2"/>
    <w:rsid w:val="00C22A06"/>
    <w:rsid w:val="00C26E93"/>
    <w:rsid w:val="00C2772F"/>
    <w:rsid w:val="00C30053"/>
    <w:rsid w:val="00C31028"/>
    <w:rsid w:val="00C310E8"/>
    <w:rsid w:val="00C33065"/>
    <w:rsid w:val="00C33718"/>
    <w:rsid w:val="00C33E62"/>
    <w:rsid w:val="00C34AE7"/>
    <w:rsid w:val="00C36497"/>
    <w:rsid w:val="00C36578"/>
    <w:rsid w:val="00C376ED"/>
    <w:rsid w:val="00C40934"/>
    <w:rsid w:val="00C40AA5"/>
    <w:rsid w:val="00C423D5"/>
    <w:rsid w:val="00C4262E"/>
    <w:rsid w:val="00C46F70"/>
    <w:rsid w:val="00C476D0"/>
    <w:rsid w:val="00C504E9"/>
    <w:rsid w:val="00C523E9"/>
    <w:rsid w:val="00C530B3"/>
    <w:rsid w:val="00C55F58"/>
    <w:rsid w:val="00C57E2A"/>
    <w:rsid w:val="00C60CB8"/>
    <w:rsid w:val="00C61AC1"/>
    <w:rsid w:val="00C6339D"/>
    <w:rsid w:val="00C643FC"/>
    <w:rsid w:val="00C675F3"/>
    <w:rsid w:val="00C67804"/>
    <w:rsid w:val="00C67C12"/>
    <w:rsid w:val="00C67CD0"/>
    <w:rsid w:val="00C7055F"/>
    <w:rsid w:val="00C70EE5"/>
    <w:rsid w:val="00C76348"/>
    <w:rsid w:val="00C81369"/>
    <w:rsid w:val="00C836E3"/>
    <w:rsid w:val="00C86577"/>
    <w:rsid w:val="00C86808"/>
    <w:rsid w:val="00C901CF"/>
    <w:rsid w:val="00C91F7A"/>
    <w:rsid w:val="00C926B7"/>
    <w:rsid w:val="00C92E07"/>
    <w:rsid w:val="00C93B23"/>
    <w:rsid w:val="00C95478"/>
    <w:rsid w:val="00C96868"/>
    <w:rsid w:val="00C96F22"/>
    <w:rsid w:val="00CA0057"/>
    <w:rsid w:val="00CA0416"/>
    <w:rsid w:val="00CA0D4C"/>
    <w:rsid w:val="00CA0EBC"/>
    <w:rsid w:val="00CA1B8C"/>
    <w:rsid w:val="00CA41E6"/>
    <w:rsid w:val="00CA5C38"/>
    <w:rsid w:val="00CA5D21"/>
    <w:rsid w:val="00CA5E4B"/>
    <w:rsid w:val="00CA641D"/>
    <w:rsid w:val="00CB02C3"/>
    <w:rsid w:val="00CB2BFB"/>
    <w:rsid w:val="00CB3EC6"/>
    <w:rsid w:val="00CB4C6A"/>
    <w:rsid w:val="00CB50A3"/>
    <w:rsid w:val="00CB658F"/>
    <w:rsid w:val="00CC21AA"/>
    <w:rsid w:val="00CC344E"/>
    <w:rsid w:val="00CC3949"/>
    <w:rsid w:val="00CC4199"/>
    <w:rsid w:val="00CC420E"/>
    <w:rsid w:val="00CC5036"/>
    <w:rsid w:val="00CC560B"/>
    <w:rsid w:val="00CC5FAB"/>
    <w:rsid w:val="00CC63DA"/>
    <w:rsid w:val="00CC75E2"/>
    <w:rsid w:val="00CD0EAC"/>
    <w:rsid w:val="00CD46EB"/>
    <w:rsid w:val="00CD4BD4"/>
    <w:rsid w:val="00CD7EBF"/>
    <w:rsid w:val="00CD7FFD"/>
    <w:rsid w:val="00CE16ED"/>
    <w:rsid w:val="00CE17F1"/>
    <w:rsid w:val="00CE1FA0"/>
    <w:rsid w:val="00CE56D7"/>
    <w:rsid w:val="00CE58FA"/>
    <w:rsid w:val="00CF234F"/>
    <w:rsid w:val="00CF2DC2"/>
    <w:rsid w:val="00CF6612"/>
    <w:rsid w:val="00CF6A87"/>
    <w:rsid w:val="00CF7651"/>
    <w:rsid w:val="00D00ED4"/>
    <w:rsid w:val="00D01778"/>
    <w:rsid w:val="00D0230B"/>
    <w:rsid w:val="00D02952"/>
    <w:rsid w:val="00D038CA"/>
    <w:rsid w:val="00D056F1"/>
    <w:rsid w:val="00D10C9E"/>
    <w:rsid w:val="00D11171"/>
    <w:rsid w:val="00D11175"/>
    <w:rsid w:val="00D11426"/>
    <w:rsid w:val="00D11F31"/>
    <w:rsid w:val="00D14B95"/>
    <w:rsid w:val="00D22F3C"/>
    <w:rsid w:val="00D23DB6"/>
    <w:rsid w:val="00D23F10"/>
    <w:rsid w:val="00D2402E"/>
    <w:rsid w:val="00D30A84"/>
    <w:rsid w:val="00D30BD8"/>
    <w:rsid w:val="00D3103C"/>
    <w:rsid w:val="00D31987"/>
    <w:rsid w:val="00D33C50"/>
    <w:rsid w:val="00D33E5E"/>
    <w:rsid w:val="00D35999"/>
    <w:rsid w:val="00D35E92"/>
    <w:rsid w:val="00D40F50"/>
    <w:rsid w:val="00D41036"/>
    <w:rsid w:val="00D43216"/>
    <w:rsid w:val="00D43FE6"/>
    <w:rsid w:val="00D44175"/>
    <w:rsid w:val="00D50276"/>
    <w:rsid w:val="00D50DA9"/>
    <w:rsid w:val="00D51234"/>
    <w:rsid w:val="00D51881"/>
    <w:rsid w:val="00D51A95"/>
    <w:rsid w:val="00D540C8"/>
    <w:rsid w:val="00D55365"/>
    <w:rsid w:val="00D563BD"/>
    <w:rsid w:val="00D60568"/>
    <w:rsid w:val="00D63146"/>
    <w:rsid w:val="00D65E31"/>
    <w:rsid w:val="00D67D8C"/>
    <w:rsid w:val="00D70C7A"/>
    <w:rsid w:val="00D7529E"/>
    <w:rsid w:val="00D7539B"/>
    <w:rsid w:val="00D776B7"/>
    <w:rsid w:val="00D777A4"/>
    <w:rsid w:val="00D77D32"/>
    <w:rsid w:val="00D80281"/>
    <w:rsid w:val="00D81787"/>
    <w:rsid w:val="00D81D38"/>
    <w:rsid w:val="00D85AB6"/>
    <w:rsid w:val="00D85AC7"/>
    <w:rsid w:val="00D9021A"/>
    <w:rsid w:val="00D90A7D"/>
    <w:rsid w:val="00D956D6"/>
    <w:rsid w:val="00D9620E"/>
    <w:rsid w:val="00DA10A8"/>
    <w:rsid w:val="00DA1807"/>
    <w:rsid w:val="00DA1E48"/>
    <w:rsid w:val="00DA225C"/>
    <w:rsid w:val="00DA3D48"/>
    <w:rsid w:val="00DA3E46"/>
    <w:rsid w:val="00DB10A1"/>
    <w:rsid w:val="00DB1E08"/>
    <w:rsid w:val="00DB2177"/>
    <w:rsid w:val="00DB2973"/>
    <w:rsid w:val="00DB6568"/>
    <w:rsid w:val="00DB6604"/>
    <w:rsid w:val="00DB69E9"/>
    <w:rsid w:val="00DC0949"/>
    <w:rsid w:val="00DC1455"/>
    <w:rsid w:val="00DC1B56"/>
    <w:rsid w:val="00DC2129"/>
    <w:rsid w:val="00DC31D9"/>
    <w:rsid w:val="00DC3358"/>
    <w:rsid w:val="00DC4261"/>
    <w:rsid w:val="00DC5F9F"/>
    <w:rsid w:val="00DC64D7"/>
    <w:rsid w:val="00DC6570"/>
    <w:rsid w:val="00DC7154"/>
    <w:rsid w:val="00DC7FD2"/>
    <w:rsid w:val="00DD0711"/>
    <w:rsid w:val="00DD1981"/>
    <w:rsid w:val="00DD3C5E"/>
    <w:rsid w:val="00DD44A6"/>
    <w:rsid w:val="00DD57B5"/>
    <w:rsid w:val="00DD5A8E"/>
    <w:rsid w:val="00DE1867"/>
    <w:rsid w:val="00DE389E"/>
    <w:rsid w:val="00DE39C0"/>
    <w:rsid w:val="00DE45FD"/>
    <w:rsid w:val="00DE4BFB"/>
    <w:rsid w:val="00DF1B5B"/>
    <w:rsid w:val="00DF25C3"/>
    <w:rsid w:val="00DF3215"/>
    <w:rsid w:val="00DF3F69"/>
    <w:rsid w:val="00DF4167"/>
    <w:rsid w:val="00DF60DB"/>
    <w:rsid w:val="00DF61F2"/>
    <w:rsid w:val="00DF6541"/>
    <w:rsid w:val="00E00B87"/>
    <w:rsid w:val="00E0238D"/>
    <w:rsid w:val="00E04062"/>
    <w:rsid w:val="00E05FE0"/>
    <w:rsid w:val="00E063C6"/>
    <w:rsid w:val="00E066BA"/>
    <w:rsid w:val="00E06783"/>
    <w:rsid w:val="00E1163F"/>
    <w:rsid w:val="00E143DC"/>
    <w:rsid w:val="00E14B4B"/>
    <w:rsid w:val="00E15812"/>
    <w:rsid w:val="00E16F1D"/>
    <w:rsid w:val="00E1761E"/>
    <w:rsid w:val="00E2003B"/>
    <w:rsid w:val="00E203C2"/>
    <w:rsid w:val="00E2217C"/>
    <w:rsid w:val="00E23B3D"/>
    <w:rsid w:val="00E279CA"/>
    <w:rsid w:val="00E279D8"/>
    <w:rsid w:val="00E319B1"/>
    <w:rsid w:val="00E3245D"/>
    <w:rsid w:val="00E32C00"/>
    <w:rsid w:val="00E33870"/>
    <w:rsid w:val="00E35EDA"/>
    <w:rsid w:val="00E43943"/>
    <w:rsid w:val="00E44ADF"/>
    <w:rsid w:val="00E44E0D"/>
    <w:rsid w:val="00E473BA"/>
    <w:rsid w:val="00E47FF7"/>
    <w:rsid w:val="00E5012A"/>
    <w:rsid w:val="00E5103F"/>
    <w:rsid w:val="00E5401F"/>
    <w:rsid w:val="00E5492F"/>
    <w:rsid w:val="00E55F54"/>
    <w:rsid w:val="00E55F94"/>
    <w:rsid w:val="00E5751C"/>
    <w:rsid w:val="00E60FBA"/>
    <w:rsid w:val="00E61382"/>
    <w:rsid w:val="00E62DEF"/>
    <w:rsid w:val="00E63657"/>
    <w:rsid w:val="00E70A86"/>
    <w:rsid w:val="00E73872"/>
    <w:rsid w:val="00E75194"/>
    <w:rsid w:val="00E76F33"/>
    <w:rsid w:val="00E777EC"/>
    <w:rsid w:val="00E80FCD"/>
    <w:rsid w:val="00E82C1E"/>
    <w:rsid w:val="00E84BE4"/>
    <w:rsid w:val="00E86F7F"/>
    <w:rsid w:val="00E94273"/>
    <w:rsid w:val="00E9588E"/>
    <w:rsid w:val="00E95F03"/>
    <w:rsid w:val="00E9614E"/>
    <w:rsid w:val="00E96D87"/>
    <w:rsid w:val="00E97212"/>
    <w:rsid w:val="00EA550B"/>
    <w:rsid w:val="00EA5967"/>
    <w:rsid w:val="00EA7280"/>
    <w:rsid w:val="00EA74E9"/>
    <w:rsid w:val="00EA7601"/>
    <w:rsid w:val="00EA7F2F"/>
    <w:rsid w:val="00EB0D4B"/>
    <w:rsid w:val="00EB2737"/>
    <w:rsid w:val="00EC00DE"/>
    <w:rsid w:val="00EC13F7"/>
    <w:rsid w:val="00EC2317"/>
    <w:rsid w:val="00EC2BD1"/>
    <w:rsid w:val="00EC30E1"/>
    <w:rsid w:val="00EC3713"/>
    <w:rsid w:val="00EC51CE"/>
    <w:rsid w:val="00EC6B49"/>
    <w:rsid w:val="00ED053A"/>
    <w:rsid w:val="00ED172A"/>
    <w:rsid w:val="00ED2F58"/>
    <w:rsid w:val="00ED565C"/>
    <w:rsid w:val="00ED57D7"/>
    <w:rsid w:val="00ED5F7D"/>
    <w:rsid w:val="00ED7213"/>
    <w:rsid w:val="00ED7FF1"/>
    <w:rsid w:val="00EE0F6D"/>
    <w:rsid w:val="00EE3086"/>
    <w:rsid w:val="00EE3425"/>
    <w:rsid w:val="00EE36FE"/>
    <w:rsid w:val="00EF4C24"/>
    <w:rsid w:val="00EF4F17"/>
    <w:rsid w:val="00EF5881"/>
    <w:rsid w:val="00EF6384"/>
    <w:rsid w:val="00F00106"/>
    <w:rsid w:val="00F00846"/>
    <w:rsid w:val="00F00FB6"/>
    <w:rsid w:val="00F03072"/>
    <w:rsid w:val="00F05AFB"/>
    <w:rsid w:val="00F11F6C"/>
    <w:rsid w:val="00F128FD"/>
    <w:rsid w:val="00F137A7"/>
    <w:rsid w:val="00F13DF7"/>
    <w:rsid w:val="00F14BEC"/>
    <w:rsid w:val="00F15421"/>
    <w:rsid w:val="00F15535"/>
    <w:rsid w:val="00F16D7B"/>
    <w:rsid w:val="00F20170"/>
    <w:rsid w:val="00F2061B"/>
    <w:rsid w:val="00F20650"/>
    <w:rsid w:val="00F21271"/>
    <w:rsid w:val="00F225C5"/>
    <w:rsid w:val="00F22A1D"/>
    <w:rsid w:val="00F22D6D"/>
    <w:rsid w:val="00F234EB"/>
    <w:rsid w:val="00F2587A"/>
    <w:rsid w:val="00F27822"/>
    <w:rsid w:val="00F2794A"/>
    <w:rsid w:val="00F32BFC"/>
    <w:rsid w:val="00F35621"/>
    <w:rsid w:val="00F3715D"/>
    <w:rsid w:val="00F420C8"/>
    <w:rsid w:val="00F42A4C"/>
    <w:rsid w:val="00F42FAF"/>
    <w:rsid w:val="00F437CE"/>
    <w:rsid w:val="00F4422F"/>
    <w:rsid w:val="00F45285"/>
    <w:rsid w:val="00F46BFA"/>
    <w:rsid w:val="00F503C9"/>
    <w:rsid w:val="00F5132B"/>
    <w:rsid w:val="00F526DA"/>
    <w:rsid w:val="00F53901"/>
    <w:rsid w:val="00F5623B"/>
    <w:rsid w:val="00F600B0"/>
    <w:rsid w:val="00F604DE"/>
    <w:rsid w:val="00F6228E"/>
    <w:rsid w:val="00F64019"/>
    <w:rsid w:val="00F648BE"/>
    <w:rsid w:val="00F64BEA"/>
    <w:rsid w:val="00F7088B"/>
    <w:rsid w:val="00F73882"/>
    <w:rsid w:val="00F80378"/>
    <w:rsid w:val="00F8170F"/>
    <w:rsid w:val="00F81821"/>
    <w:rsid w:val="00F84690"/>
    <w:rsid w:val="00F900C0"/>
    <w:rsid w:val="00F9073D"/>
    <w:rsid w:val="00F91768"/>
    <w:rsid w:val="00F9788F"/>
    <w:rsid w:val="00FA01B2"/>
    <w:rsid w:val="00FA2531"/>
    <w:rsid w:val="00FA58A8"/>
    <w:rsid w:val="00FA6D20"/>
    <w:rsid w:val="00FB539A"/>
    <w:rsid w:val="00FB54FD"/>
    <w:rsid w:val="00FB6466"/>
    <w:rsid w:val="00FB67BF"/>
    <w:rsid w:val="00FB7512"/>
    <w:rsid w:val="00FC190B"/>
    <w:rsid w:val="00FC46D4"/>
    <w:rsid w:val="00FC7167"/>
    <w:rsid w:val="00FD12D2"/>
    <w:rsid w:val="00FD135C"/>
    <w:rsid w:val="00FD1D4E"/>
    <w:rsid w:val="00FD2278"/>
    <w:rsid w:val="00FD4B7B"/>
    <w:rsid w:val="00FD73F5"/>
    <w:rsid w:val="00FD7547"/>
    <w:rsid w:val="00FE1782"/>
    <w:rsid w:val="00FE2B7C"/>
    <w:rsid w:val="00FE62E9"/>
    <w:rsid w:val="00FE6FC6"/>
    <w:rsid w:val="00FE7553"/>
    <w:rsid w:val="00FF16B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6"/>
    <o:shapelayout v:ext="edit">
      <o:idmap v:ext="edit" data="1"/>
    </o:shapelayout>
  </w:shapeDefaults>
  <w:decimalSymbol w:val="."/>
  <w:listSeparator w:val=","/>
  <w14:docId w14:val="452E9F72"/>
  <w15:docId w15:val="{7E2A27A0-52F4-4268-BD9A-EEB6773A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3"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38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533BF1"/>
    <w:pPr>
      <w:keepNext/>
      <w:numPr>
        <w:ilvl w:val="1"/>
        <w:numId w:val="36"/>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A400B6"/>
    <w:pPr>
      <w:keepNext/>
      <w:spacing w:before="240" w:after="240"/>
      <w:ind w:left="765" w:hanging="765"/>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2"/>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2"/>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533BF1"/>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7734D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2"/>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2"/>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aliases w:val="FSHeader"/>
    <w:basedOn w:val="Normal"/>
    <w:link w:val="HeaderChar"/>
    <w:uiPriority w:val="3"/>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 Footnote,FSFooter"/>
    <w:basedOn w:val="Normal"/>
    <w:link w:val="FooterChar"/>
    <w:uiPriority w:val="99"/>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3"/>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Default">
    <w:name w:val="Default"/>
    <w:rsid w:val="0029778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D2F58"/>
    <w:pPr>
      <w:widowControl/>
      <w:ind w:left="720"/>
      <w:contextualSpacing/>
    </w:pPr>
    <w:rPr>
      <w:rFonts w:eastAsiaTheme="minorHAnsi" w:cstheme="minorBidi"/>
      <w:szCs w:val="22"/>
      <w:lang w:bidi="ar-SA"/>
    </w:rPr>
  </w:style>
  <w:style w:type="paragraph" w:styleId="CommentSubject">
    <w:name w:val="annotation subject"/>
    <w:basedOn w:val="CommentText"/>
    <w:next w:val="CommentText"/>
    <w:link w:val="CommentSubjectChar"/>
    <w:uiPriority w:val="99"/>
    <w:semiHidden/>
    <w:unhideWhenUsed/>
    <w:rsid w:val="008707D5"/>
    <w:rPr>
      <w:b/>
      <w:bCs/>
    </w:rPr>
  </w:style>
  <w:style w:type="character" w:customStyle="1" w:styleId="CommentSubjectChar">
    <w:name w:val="Comment Subject Char"/>
    <w:basedOn w:val="CommentTextChar"/>
    <w:link w:val="CommentSubject"/>
    <w:uiPriority w:val="99"/>
    <w:semiHidden/>
    <w:rsid w:val="008707D5"/>
    <w:rPr>
      <w:rFonts w:ascii="Arial" w:hAnsi="Arial"/>
      <w:b/>
      <w:bCs/>
      <w:lang w:eastAsia="en-US" w:bidi="en-US"/>
    </w:rPr>
  </w:style>
  <w:style w:type="paragraph" w:customStyle="1" w:styleId="FSTableColumnRowheading">
    <w:name w:val="FSTable Column/Row heading"/>
    <w:basedOn w:val="Normal"/>
    <w:uiPriority w:val="8"/>
    <w:qFormat/>
    <w:locked/>
    <w:rsid w:val="00A9372F"/>
    <w:pPr>
      <w:widowControl/>
      <w:spacing w:before="120" w:after="120"/>
    </w:pPr>
    <w:rPr>
      <w:rFonts w:eastAsiaTheme="minorHAnsi" w:cstheme="minorBidi"/>
      <w:b/>
      <w:sz w:val="20"/>
      <w:szCs w:val="20"/>
      <w:lang w:bidi="ar-SA"/>
    </w:rPr>
  </w:style>
  <w:style w:type="paragraph" w:styleId="Revision">
    <w:name w:val="Revision"/>
    <w:hidden/>
    <w:uiPriority w:val="99"/>
    <w:semiHidden/>
    <w:rsid w:val="00FC7167"/>
    <w:rPr>
      <w:rFonts w:ascii="Arial" w:hAnsi="Arial"/>
      <w:sz w:val="22"/>
      <w:szCs w:val="24"/>
      <w:lang w:eastAsia="en-US" w:bidi="en-US"/>
    </w:rPr>
  </w:style>
  <w:style w:type="character" w:customStyle="1" w:styleId="FooterChar">
    <w:name w:val="Footer Char"/>
    <w:aliases w:val="FS Footnote Char,FSFooter Char"/>
    <w:basedOn w:val="DefaultParagraphFont"/>
    <w:link w:val="Footer"/>
    <w:uiPriority w:val="99"/>
    <w:rsid w:val="002F7125"/>
    <w:rPr>
      <w:rFonts w:ascii="Arial" w:hAnsi="Arial"/>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2F7125"/>
    <w:rPr>
      <w:rFonts w:ascii="Arial" w:hAnsi="Arial"/>
      <w:lang w:eastAsia="en-US" w:bidi="en-US"/>
    </w:rPr>
  </w:style>
  <w:style w:type="paragraph" w:customStyle="1" w:styleId="FSTableFigureHeading">
    <w:name w:val="FSTable/Figure Heading"/>
    <w:basedOn w:val="Normal"/>
    <w:uiPriority w:val="7"/>
    <w:qFormat/>
    <w:locked/>
    <w:rsid w:val="002F7125"/>
    <w:pPr>
      <w:widowControl/>
      <w:spacing w:before="120" w:after="120"/>
      <w:ind w:left="1134" w:hanging="1134"/>
    </w:pPr>
    <w:rPr>
      <w:rFonts w:eastAsiaTheme="minorHAnsi" w:cstheme="minorBidi"/>
      <w:b/>
      <w:i/>
      <w:szCs w:val="22"/>
      <w:lang w:bidi="ar-SA"/>
    </w:rPr>
  </w:style>
  <w:style w:type="paragraph" w:styleId="ListBullet">
    <w:name w:val="List Bullet"/>
    <w:basedOn w:val="Normal"/>
    <w:semiHidden/>
    <w:unhideWhenUsed/>
    <w:rsid w:val="002F7125"/>
    <w:pPr>
      <w:numPr>
        <w:numId w:val="29"/>
      </w:numPr>
      <w:contextualSpacing/>
    </w:pPr>
  </w:style>
  <w:style w:type="table" w:customStyle="1" w:styleId="Table">
    <w:name w:val="Table"/>
    <w:basedOn w:val="TableNormal"/>
    <w:uiPriority w:val="99"/>
    <w:rsid w:val="002F7125"/>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Table2">
    <w:name w:val="Table 2"/>
    <w:basedOn w:val="Normal"/>
    <w:uiPriority w:val="20"/>
    <w:qFormat/>
    <w:rsid w:val="00E5012A"/>
    <w:pPr>
      <w:widowControl/>
      <w:ind w:left="142" w:hanging="142"/>
    </w:pPr>
    <w:rPr>
      <w:bCs/>
      <w:sz w:val="18"/>
      <w:szCs w:val="20"/>
      <w:lang w:bidi="ar-SA"/>
    </w:rPr>
  </w:style>
  <w:style w:type="paragraph" w:customStyle="1" w:styleId="131ItemHeading">
    <w:name w:val="1.3.1 Item Heading"/>
    <w:basedOn w:val="Table2"/>
    <w:next w:val="Table2"/>
    <w:uiPriority w:val="22"/>
    <w:qFormat/>
    <w:rsid w:val="00E5012A"/>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E5012A"/>
    <w:pPr>
      <w:spacing w:after="120"/>
    </w:pPr>
    <w:rPr>
      <w:caps w:val="0"/>
      <w:sz w:val="18"/>
    </w:rPr>
  </w:style>
  <w:style w:type="paragraph" w:customStyle="1" w:styleId="142Tableheading1">
    <w:name w:val="1.4.2 Table heading1"/>
    <w:basedOn w:val="Normal"/>
    <w:uiPriority w:val="22"/>
    <w:qFormat/>
    <w:rsid w:val="00E5012A"/>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E5012A"/>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E5012A"/>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E5012A"/>
    <w:rPr>
      <w:rFonts w:ascii="Arial" w:hAnsi="Arial"/>
      <w:sz w:val="18"/>
      <w:lang w:eastAsia="en-US"/>
    </w:rPr>
  </w:style>
  <w:style w:type="paragraph" w:customStyle="1" w:styleId="142Tabletext2">
    <w:name w:val="1.4.2 Table text2"/>
    <w:basedOn w:val="142Tabletext1"/>
    <w:uiPriority w:val="22"/>
    <w:qFormat/>
    <w:rsid w:val="00E5012A"/>
    <w:pPr>
      <w:jc w:val="right"/>
    </w:pPr>
  </w:style>
  <w:style w:type="paragraph" w:customStyle="1" w:styleId="Blankpage">
    <w:name w:val="Blank page"/>
    <w:basedOn w:val="Normal"/>
    <w:next w:val="Normal"/>
    <w:uiPriority w:val="23"/>
    <w:qFormat/>
    <w:rsid w:val="00E5012A"/>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E5012A"/>
    <w:pPr>
      <w:widowControl/>
      <w:tabs>
        <w:tab w:val="left" w:pos="851"/>
      </w:tabs>
    </w:pPr>
    <w:rPr>
      <w:sz w:val="20"/>
      <w:szCs w:val="20"/>
      <w:lang w:bidi="ar-SA"/>
    </w:rPr>
  </w:style>
  <w:style w:type="character" w:customStyle="1" w:styleId="ClauseChar">
    <w:name w:val="Clause Char"/>
    <w:basedOn w:val="DefaultParagraphFont"/>
    <w:link w:val="Clause"/>
    <w:uiPriority w:val="10"/>
    <w:rsid w:val="00E5012A"/>
    <w:rPr>
      <w:rFonts w:ascii="Arial" w:hAnsi="Arial"/>
      <w:lang w:eastAsia="en-US"/>
    </w:rPr>
  </w:style>
  <w:style w:type="paragraph" w:customStyle="1" w:styleId="Clauseheading">
    <w:name w:val="Clause heading"/>
    <w:basedOn w:val="Normal"/>
    <w:next w:val="Normal"/>
    <w:uiPriority w:val="14"/>
    <w:qFormat/>
    <w:rsid w:val="00E5012A"/>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E5012A"/>
    <w:pPr>
      <w:tabs>
        <w:tab w:val="clear" w:pos="851"/>
      </w:tabs>
      <w:ind w:left="851" w:hanging="851"/>
    </w:pPr>
  </w:style>
  <w:style w:type="paragraph" w:customStyle="1" w:styleId="Definition">
    <w:name w:val="Definition"/>
    <w:basedOn w:val="Normal"/>
    <w:next w:val="Normal"/>
    <w:uiPriority w:val="15"/>
    <w:qFormat/>
    <w:rsid w:val="00E5012A"/>
    <w:pPr>
      <w:widowControl/>
      <w:ind w:left="1701" w:hanging="851"/>
    </w:pPr>
    <w:rPr>
      <w:sz w:val="20"/>
      <w:szCs w:val="20"/>
      <w:lang w:bidi="ar-SA"/>
    </w:rPr>
  </w:style>
  <w:style w:type="paragraph" w:customStyle="1" w:styleId="DivisionHeading">
    <w:name w:val="Division Heading"/>
    <w:basedOn w:val="Normal"/>
    <w:next w:val="Normal"/>
    <w:uiPriority w:val="15"/>
    <w:qFormat/>
    <w:rsid w:val="00E5012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E5012A"/>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E5012A"/>
    <w:pPr>
      <w:keepNext w:val="0"/>
    </w:pPr>
    <w:rPr>
      <w:b w:val="0"/>
    </w:rPr>
  </w:style>
  <w:style w:type="paragraph" w:customStyle="1" w:styleId="FSCaption">
    <w:name w:val="FSCaption"/>
    <w:basedOn w:val="Normal"/>
    <w:uiPriority w:val="9"/>
    <w:qFormat/>
    <w:locked/>
    <w:rsid w:val="00E5012A"/>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E5012A"/>
    <w:pPr>
      <w:widowControl/>
    </w:pPr>
    <w:rPr>
      <w:sz w:val="16"/>
      <w:szCs w:val="20"/>
      <w:lang w:bidi="ar-SA"/>
    </w:rPr>
  </w:style>
  <w:style w:type="paragraph" w:customStyle="1" w:styleId="FSCFooter0">
    <w:name w:val="FSCFooter"/>
    <w:basedOn w:val="FSCFootnote"/>
    <w:uiPriority w:val="17"/>
    <w:qFormat/>
    <w:locked/>
    <w:rsid w:val="00E5012A"/>
    <w:pPr>
      <w:tabs>
        <w:tab w:val="center" w:pos="4536"/>
        <w:tab w:val="right" w:pos="9070"/>
      </w:tabs>
    </w:pPr>
    <w:rPr>
      <w:sz w:val="18"/>
      <w:szCs w:val="18"/>
    </w:rPr>
  </w:style>
  <w:style w:type="paragraph" w:customStyle="1" w:styleId="FSPagenumber">
    <w:name w:val="FSPage number"/>
    <w:basedOn w:val="Normal"/>
    <w:uiPriority w:val="1"/>
    <w:qFormat/>
    <w:locked/>
    <w:rsid w:val="00E5012A"/>
    <w:pPr>
      <w:widowControl/>
      <w:jc w:val="center"/>
    </w:pPr>
    <w:rPr>
      <w:rFonts w:eastAsiaTheme="minorHAnsi" w:cstheme="minorBidi"/>
      <w:sz w:val="20"/>
      <w:szCs w:val="20"/>
      <w:lang w:bidi="ar-SA"/>
    </w:rPr>
  </w:style>
  <w:style w:type="paragraph" w:customStyle="1" w:styleId="Paragraph">
    <w:name w:val="Paragraph"/>
    <w:basedOn w:val="Clause"/>
    <w:next w:val="Normal"/>
    <w:uiPriority w:val="12"/>
    <w:qFormat/>
    <w:rsid w:val="00E5012A"/>
    <w:pPr>
      <w:tabs>
        <w:tab w:val="clear" w:pos="851"/>
      </w:tabs>
      <w:ind w:left="1702" w:hanging="851"/>
    </w:pPr>
  </w:style>
  <w:style w:type="paragraph" w:customStyle="1" w:styleId="ScheduleHeading">
    <w:name w:val="Schedule Heading"/>
    <w:basedOn w:val="Normal"/>
    <w:next w:val="Normal"/>
    <w:uiPriority w:val="18"/>
    <w:qFormat/>
    <w:rsid w:val="00E5012A"/>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E5012A"/>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E5012A"/>
    <w:pPr>
      <w:ind w:left="567" w:hanging="567"/>
    </w:pPr>
  </w:style>
  <w:style w:type="paragraph" w:customStyle="1" w:styleId="Subparagraph">
    <w:name w:val="Subparagraph"/>
    <w:basedOn w:val="Paragraph"/>
    <w:next w:val="Normal"/>
    <w:uiPriority w:val="13"/>
    <w:qFormat/>
    <w:rsid w:val="00E5012A"/>
    <w:pPr>
      <w:ind w:left="2553"/>
    </w:pPr>
  </w:style>
  <w:style w:type="paragraph" w:customStyle="1" w:styleId="Table1">
    <w:name w:val="Table 1"/>
    <w:basedOn w:val="Normal"/>
    <w:uiPriority w:val="20"/>
    <w:qFormat/>
    <w:rsid w:val="00E5012A"/>
    <w:pPr>
      <w:keepNext/>
      <w:widowControl/>
      <w:spacing w:after="120"/>
      <w:jc w:val="center"/>
    </w:pPr>
    <w:rPr>
      <w:b/>
      <w:bCs/>
      <w:sz w:val="18"/>
      <w:szCs w:val="20"/>
      <w:lang w:bidi="ar-SA"/>
    </w:rPr>
  </w:style>
  <w:style w:type="paragraph" w:customStyle="1" w:styleId="TitleBorder">
    <w:name w:val="TitleBorder"/>
    <w:basedOn w:val="Normal"/>
    <w:uiPriority w:val="19"/>
    <w:qFormat/>
    <w:rsid w:val="00E5012A"/>
    <w:pPr>
      <w:widowControl/>
      <w:pBdr>
        <w:bottom w:val="double" w:sz="6" w:space="0" w:color="auto"/>
      </w:pBdr>
      <w:tabs>
        <w:tab w:val="left" w:pos="851"/>
      </w:tabs>
    </w:pPr>
    <w:rPr>
      <w:sz w:val="20"/>
      <w:szCs w:val="20"/>
      <w:lang w:bidi="ar-SA"/>
    </w:rPr>
  </w:style>
  <w:style w:type="paragraph" w:styleId="NoSpacing">
    <w:name w:val="No Spacing"/>
    <w:uiPriority w:val="20"/>
    <w:rsid w:val="00E5012A"/>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E5012A"/>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5012A"/>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rsid w:val="00E5012A"/>
    <w:rPr>
      <w:b/>
      <w:bCs/>
      <w:i/>
      <w:iCs/>
      <w:color w:val="4F81BD" w:themeColor="accent1"/>
    </w:rPr>
  </w:style>
  <w:style w:type="paragraph" w:styleId="NormalWeb">
    <w:name w:val="Normal (Web)"/>
    <w:basedOn w:val="Normal"/>
    <w:uiPriority w:val="99"/>
    <w:semiHidden/>
    <w:unhideWhenUsed/>
    <w:rsid w:val="00E5012A"/>
    <w:pPr>
      <w:widowControl/>
    </w:pPr>
    <w:rPr>
      <w:rFonts w:ascii="Times New Roman" w:eastAsiaTheme="minorHAnsi" w:hAnsi="Times New Roman"/>
      <w:sz w:val="24"/>
      <w:lang w:bidi="ar-SA"/>
    </w:rPr>
  </w:style>
  <w:style w:type="character" w:customStyle="1" w:styleId="BalloonTextChar">
    <w:name w:val="Balloon Text Char"/>
    <w:basedOn w:val="DefaultParagraphFont"/>
    <w:link w:val="BalloonText"/>
    <w:uiPriority w:val="99"/>
    <w:semiHidden/>
    <w:rsid w:val="00E5012A"/>
    <w:rPr>
      <w:rFonts w:ascii="Tahoma" w:hAnsi="Tahoma" w:cs="Tahoma"/>
      <w:sz w:val="16"/>
      <w:szCs w:val="16"/>
      <w:lang w:eastAsia="en-US" w:bidi="en-US"/>
    </w:rPr>
  </w:style>
  <w:style w:type="paragraph" w:customStyle="1" w:styleId="reference">
    <w:name w:val="reference"/>
    <w:basedOn w:val="Normal"/>
    <w:rsid w:val="00E5012A"/>
    <w:pPr>
      <w:widowControl/>
      <w:spacing w:after="150"/>
    </w:pPr>
    <w:rPr>
      <w:rFonts w:ascii="Times New Roman" w:hAnsi="Times New Roman"/>
      <w:sz w:val="24"/>
      <w:lang w:eastAsia="en-GB" w:bidi="ar-SA"/>
    </w:rPr>
  </w:style>
  <w:style w:type="paragraph" w:styleId="Caption">
    <w:name w:val="caption"/>
    <w:basedOn w:val="Normal"/>
    <w:next w:val="Normal"/>
    <w:unhideWhenUsed/>
    <w:rsid w:val="00196EB5"/>
    <w:pPr>
      <w:spacing w:after="200"/>
    </w:pPr>
    <w:rPr>
      <w:i/>
      <w:iCs/>
      <w:color w:val="1F497D" w:themeColor="text2"/>
      <w:sz w:val="18"/>
      <w:szCs w:val="18"/>
    </w:rPr>
  </w:style>
  <w:style w:type="paragraph" w:customStyle="1" w:styleId="CitaviBibliography">
    <w:name w:val="Citavi Bibliography"/>
    <w:basedOn w:val="Normal"/>
    <w:rsid w:val="008C7F76"/>
    <w:pPr>
      <w:widowControl/>
      <w:ind w:left="397" w:hanging="397"/>
    </w:pPr>
    <w:rPr>
      <w:rFonts w:ascii="Segoe UI" w:eastAsia="Segoe UI" w:hAnsi="Segoe UI" w:cs="Segoe UI"/>
      <w:sz w:val="18"/>
      <w:szCs w:val="18"/>
      <w:lang w:eastAsia="en-GB" w:bidi="ar-SA"/>
    </w:rPr>
  </w:style>
  <w:style w:type="character" w:customStyle="1" w:styleId="cca-citation">
    <w:name w:val="cca-citation"/>
    <w:basedOn w:val="DefaultParagraphFont"/>
    <w:rsid w:val="00161404"/>
  </w:style>
  <w:style w:type="character" w:styleId="Strong">
    <w:name w:val="Strong"/>
    <w:basedOn w:val="DefaultParagraphFont"/>
    <w:uiPriority w:val="22"/>
    <w:qFormat/>
    <w:rsid w:val="005622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577180117">
      <w:bodyDiv w:val="1"/>
      <w:marLeft w:val="0"/>
      <w:marRight w:val="0"/>
      <w:marTop w:val="0"/>
      <w:marBottom w:val="0"/>
      <w:divBdr>
        <w:top w:val="none" w:sz="0" w:space="0" w:color="auto"/>
        <w:left w:val="none" w:sz="0" w:space="0" w:color="auto"/>
        <w:bottom w:val="none" w:sz="0" w:space="0" w:color="auto"/>
        <w:right w:val="none" w:sz="0" w:space="0" w:color="auto"/>
      </w:divBdr>
    </w:div>
    <w:div w:id="604650234">
      <w:bodyDiv w:val="1"/>
      <w:marLeft w:val="0"/>
      <w:marRight w:val="0"/>
      <w:marTop w:val="0"/>
      <w:marBottom w:val="0"/>
      <w:divBdr>
        <w:top w:val="none" w:sz="0" w:space="0" w:color="auto"/>
        <w:left w:val="none" w:sz="0" w:space="0" w:color="auto"/>
        <w:bottom w:val="none" w:sz="0" w:space="0" w:color="auto"/>
        <w:right w:val="none" w:sz="0" w:space="0" w:color="auto"/>
      </w:divBdr>
    </w:div>
    <w:div w:id="1239245218">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yperlink" Target="https://www.cfsanappsexternal.fda.gov/scripts/fdcc/index.cfm?set=GRASNotices&amp;id=635" TargetMode="External"/><Relationship Id="rId39" Type="http://schemas.openxmlformats.org/officeDocument/2006/relationships/hyperlink" Target="https://www.nature.com/articles/ncomms13103" TargetMode="External"/><Relationship Id="rId21" Type="http://schemas.openxmlformats.org/officeDocument/2006/relationships/image" Target="media/image3.png"/><Relationship Id="rId34" Type="http://schemas.openxmlformats.org/officeDocument/2006/relationships/hyperlink" Target="https://academic.oup.com/ajcn/article/112/2/413/5823793" TargetMode="External"/><Relationship Id="rId42" Type="http://schemas.openxmlformats.org/officeDocument/2006/relationships/hyperlink" Target="https://www.nature.com/articles/ncomms12948" TargetMode="External"/><Relationship Id="rId47" Type="http://schemas.openxmlformats.org/officeDocument/2006/relationships/header" Target="header3.xml"/><Relationship Id="rId50" Type="http://schemas.openxmlformats.org/officeDocument/2006/relationships/header" Target="head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journals.sagepub.com/doi/10.1177/0960327115626254" TargetMode="External"/><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hyperlink" Target="https://efsa.onlinelibrary.wiley.com/doi/abs/10.2903/j.efsa.2019.5775" TargetMode="External"/><Relationship Id="rId37" Type="http://schemas.openxmlformats.org/officeDocument/2006/relationships/hyperlink" Target="https://www.mdpi.com/2072-6643/12/6/1616" TargetMode="External"/><Relationship Id="rId40" Type="http://schemas.openxmlformats.org/officeDocument/2006/relationships/hyperlink" Target="https://www.mdpi.com/2072-6643/12/2/461" TargetMode="External"/><Relationship Id="rId45" Type="http://schemas.openxmlformats.org/officeDocument/2006/relationships/hyperlink" Target="http://www.foodstandards.gov.au/science/exposure/Pages/dietaryexposureandin4438.aspx"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emf"/><Relationship Id="rId28" Type="http://schemas.openxmlformats.org/officeDocument/2006/relationships/hyperlink" Target="https://journals.plos.org/plosone/article?id=10.1371/journal.pone.0186459" TargetMode="External"/><Relationship Id="rId36" Type="http://schemas.openxmlformats.org/officeDocument/2006/relationships/hyperlink" Target="https://www.nature.com/articles/s41467-018-03421-7" TargetMode="External"/><Relationship Id="rId49"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yperlink" Target="http://creativecommons.org/licenses/by/4.0/" TargetMode="External"/><Relationship Id="rId31" Type="http://schemas.openxmlformats.org/officeDocument/2006/relationships/hyperlink" Target="https://academic.oup.com/ajcn/article/108/2/343/5051210" TargetMode="External"/><Relationship Id="rId44" Type="http://schemas.openxmlformats.org/officeDocument/2006/relationships/hyperlink" Target="https://www.sciencedirect.com/science/article/pii/S1323893015001185"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cfsanappsexternal.fda.gov/scripts/fdcc/index.cfm?set=GRASNotices&amp;id=635" TargetMode="External"/><Relationship Id="rId27" Type="http://schemas.openxmlformats.org/officeDocument/2006/relationships/hyperlink" Target="http://www.abs.gov.au/AUSSTATS/abs@.nsf/Latestproducts/4324.0.55.002Main%20Features652011-12?opendocument&amp;tabname=Summary&amp;prodno=4324.0.55.002&amp;issue=2011-12&amp;num=&amp;view" TargetMode="External"/><Relationship Id="rId30" Type="http://schemas.openxmlformats.org/officeDocument/2006/relationships/hyperlink" Target="https://www.nature.com/articles/s41598-019-46120-z" TargetMode="External"/><Relationship Id="rId35" Type="http://schemas.openxmlformats.org/officeDocument/2006/relationships/hyperlink" Target="https://www.sciencedirect.com/science/article/pii/S1550413118301967" TargetMode="External"/><Relationship Id="rId43" Type="http://schemas.openxmlformats.org/officeDocument/2006/relationships/hyperlink" Target="https://www.cfsanappsexternal.fda.gov/scripts/fdcc/index.cfm?set=GRASNotices" TargetMode="External"/><Relationship Id="rId48"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www.cfsanappsexternal.fda.gov/scripts/fdcc/index.cfm?set=GRASNotices&amp;id=635" TargetMode="External"/><Relationship Id="rId33" Type="http://schemas.openxmlformats.org/officeDocument/2006/relationships/hyperlink" Target="https://doi.org/10.1016/j.celrep.2019.07.043" TargetMode="External"/><Relationship Id="rId38" Type="http://schemas.openxmlformats.org/officeDocument/2006/relationships/hyperlink" Target="https://www.health.govt.nz/publication/2008-09-new-zealand-adult-nutrition-survey-data-tables" TargetMode="External"/><Relationship Id="rId46" Type="http://schemas.openxmlformats.org/officeDocument/2006/relationships/header" Target="header2.xml"/><Relationship Id="rId20" Type="http://schemas.openxmlformats.org/officeDocument/2006/relationships/hyperlink" Target="https://www.foodstandards.gov.au/consumer/nutrition/foodspecial/Pages/default.aspx" TargetMode="External"/><Relationship Id="rId41" Type="http://schemas.openxmlformats.org/officeDocument/2006/relationships/hyperlink" Target="https://www.mdpi.com/2072-6643/11/10/243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32020R0016&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WYJEUTFRV6AA-1107035133-246</_dlc_DocId>
    <_dlc_DocIdUrl xmlns="7e329c68-5cbf-4e54-96e5-e53e71021bd2">
      <Url>http://fsanzapps/applications/A1214/_layouts/15/DocIdRedir.aspx?ID=WYJEUTFRV6AA-1107035133-246</Url>
      <Description>WYJEUTFRV6AA-1107035133-246</Description>
    </_dlc_DocIdUrl>
    <_dlc_DocIdPersistId xmlns="7e329c68-5cbf-4e54-96e5-e53e71021bd2">true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8F492-6BDE-4BAF-A82A-090C70530BAD}">
  <ds:schemaRefs>
    <ds:schemaRef ds:uri="7e329c68-5cbf-4e54-96e5-e53e71021bd2"/>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ec50576e-4a27-4780-a1e1-e59563bc70b8"/>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A8912A3-49C5-414E-BFA9-D0490DEC0A3B}"/>
</file>

<file path=customXml/itemProps3.xml><?xml version="1.0" encoding="utf-8"?>
<ds:datastoreItem xmlns:ds="http://schemas.openxmlformats.org/officeDocument/2006/customXml" ds:itemID="{99DFDDD5-9727-4AD3-AC68-797CF5880F2E}"/>
</file>

<file path=customXml/itemProps4.xml><?xml version="1.0" encoding="utf-8"?>
<ds:datastoreItem xmlns:ds="http://schemas.openxmlformats.org/officeDocument/2006/customXml" ds:itemID="{156D74B0-A972-40FF-95D3-94F564AC8346}"/>
</file>

<file path=customXml/itemProps5.xml><?xml version="1.0" encoding="utf-8"?>
<ds:datastoreItem xmlns:ds="http://schemas.openxmlformats.org/officeDocument/2006/customXml" ds:itemID="{8CD8F492-6BDE-4BAF-A82A-090C70530BAD}"/>
</file>

<file path=customXml/itemProps6.xml><?xml version="1.0" encoding="utf-8"?>
<ds:datastoreItem xmlns:ds="http://schemas.openxmlformats.org/officeDocument/2006/customXml" ds:itemID="{156D74B0-A972-40FF-95D3-94F564AC8346}">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DAEAC63B-9504-4E6D-BB72-D4C4E98E2C31}"/>
</file>

<file path=docProps/app.xml><?xml version="1.0" encoding="utf-8"?>
<Properties xmlns="http://schemas.openxmlformats.org/officeDocument/2006/extended-properties" xmlns:vt="http://schemas.openxmlformats.org/officeDocument/2006/docPropsVTypes">
  <Template>Normal</Template>
  <TotalTime>0</TotalTime>
  <Pages>49</Pages>
  <Words>20744</Words>
  <Characters>118243</Characters>
  <Application>Microsoft Office Word</Application>
  <DocSecurity>0</DocSecurity>
  <Lines>985</Lines>
  <Paragraphs>277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138710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lastModifiedBy>Tailee Vecchi</cp:lastModifiedBy>
  <cp:revision>2</cp:revision>
  <cp:lastPrinted>2021-03-09T05:24:00Z</cp:lastPrinted>
  <dcterms:created xsi:type="dcterms:W3CDTF">2021-04-21T04:32:00Z</dcterms:created>
  <dcterms:modified xsi:type="dcterms:W3CDTF">2021-04-21T04:32:00Z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c94af877-a294-4b85-b84e-c635f4cbaab8</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49d971b4-cabe-441f-8965-afd627cac28e</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y fmtid="{D5CDD505-2E9C-101B-9397-08002B2CF9AE}" pid="11" name="RecordPoint_WorkflowType">
    <vt:lpwstr>ActiveSubmitStub</vt:lpwstr>
  </property>
  <property fmtid="{D5CDD505-2E9C-101B-9397-08002B2CF9AE}" pid="12" name="RecordPoint_ActiveItemListId">
    <vt:lpwstr>{8c6cdb06-4770-4049-8dec-1fd4740d41c1}</vt:lpwstr>
  </property>
  <property fmtid="{D5CDD505-2E9C-101B-9397-08002B2CF9AE}" pid="13" name="RecordPoint_ActiveItemUniqueId">
    <vt:lpwstr>{49d971b4-cabe-441f-8965-afd627cac28e}</vt:lpwstr>
  </property>
  <property fmtid="{D5CDD505-2E9C-101B-9397-08002B2CF9AE}" pid="14" name="RecordPoint_ActiveItemWebId">
    <vt:lpwstr>{94262505-300e-43db-af1a-64e59ab6ba30}</vt:lpwstr>
  </property>
  <property fmtid="{D5CDD505-2E9C-101B-9397-08002B2CF9AE}" pid="15" name="RecordPoint_ActiveItemSiteId">
    <vt:lpwstr>{dd95a578-5c6a-4f11-92f7-f95884d628d6}</vt:lpwstr>
  </property>
  <property fmtid="{D5CDD505-2E9C-101B-9397-08002B2CF9AE}" pid="16" name="RecordPoint_RecordNumberSubmitted">
    <vt:lpwstr>R0000144387</vt:lpwstr>
  </property>
  <property fmtid="{D5CDD505-2E9C-101B-9397-08002B2CF9AE}" pid="17" name="RecordPoint_SubmissionCompleted">
    <vt:lpwstr>2021-04-14T16:25:12.7993816+10:00</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